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5B2" w:rsidP="2DF5065F" w:rsidRDefault="2DF5065F" w14:paraId="3AA44A83" w14:textId="6B85ECEE">
      <w:pPr>
        <w:spacing w:line="240" w:lineRule="auto"/>
        <w:contextualSpacing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Educational Coach for GeoFORCE</w:t>
      </w:r>
    </w:p>
    <w:p w:rsidR="008205B2" w:rsidP="2DF5065F" w:rsidRDefault="008205B2" w14:paraId="4E795742" w14:textId="628542DC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</w:rPr>
      </w:pPr>
    </w:p>
    <w:p w:rsidR="008205B2" w:rsidP="2DF5065F" w:rsidRDefault="2DF5065F" w14:paraId="47423D7D" w14:textId="7B8B885B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58A69796" w:rsidR="58A6979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Hiring Department: Jackson School of Geosciences – GeoFORCE Texas</w:t>
      </w:r>
    </w:p>
    <w:p w:rsidR="008205B2" w:rsidP="2DF5065F" w:rsidRDefault="2DF5065F" w14:paraId="44D54082" w14:textId="10497ACB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Program: GeoFORCE Texas</w:t>
      </w:r>
    </w:p>
    <w:p w:rsidR="008205B2" w:rsidP="2DF5065F" w:rsidRDefault="2DF5065F" w14:paraId="0BED88FF" w14:textId="7ACB9B32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BF8E453" w:rsidR="5BF8E453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Compensation: </w:t>
      </w:r>
      <w:r w:rsidRPr="5BF8E453" w:rsidR="5BF8E453">
        <w:rPr>
          <w:rFonts w:ascii="Calibri" w:hAnsi="Calibri" w:eastAsia="Calibri" w:cs="Calibri"/>
          <w:color w:val="000000" w:themeColor="text1" w:themeTint="FF" w:themeShade="FF"/>
        </w:rPr>
        <w:t>$25/hr + Food, Lodging, and Travel on Field Experiences</w:t>
      </w:r>
    </w:p>
    <w:p w:rsidR="008205B2" w:rsidP="2DF5065F" w:rsidRDefault="2DF5065F" w14:paraId="6CB0227C" w14:textId="33C1B50C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2DF5065F">
        <w:rPr>
          <w:rFonts w:ascii="Calibri" w:hAnsi="Calibri" w:eastAsia="Calibri" w:cs="Calibri"/>
          <w:color w:val="000000" w:themeColor="text1"/>
        </w:rPr>
        <w:t xml:space="preserve"> Temporary</w:t>
      </w:r>
    </w:p>
    <w:p w:rsidR="008205B2" w:rsidP="2DF5065F" w:rsidRDefault="2DF5065F" w14:paraId="4C2E282A" w14:textId="64FE849B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 xml:space="preserve">Location </w:t>
      </w:r>
      <w:r w:rsidRPr="2DF5065F">
        <w:rPr>
          <w:rFonts w:ascii="Calibri" w:hAnsi="Calibri" w:eastAsia="Calibri" w:cs="Calibri"/>
          <w:color w:val="000000" w:themeColor="text1"/>
        </w:rPr>
        <w:t>Austin - J. J. Pickle Research Campus (North Austin)</w:t>
      </w:r>
    </w:p>
    <w:p w:rsidR="008205B2" w:rsidP="2DF5065F" w:rsidRDefault="2DF5065F" w14:paraId="6FAB3CE1" w14:textId="214D36E5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Number of Vacancies:</w:t>
      </w:r>
      <w:r w:rsidRPr="2DF5065F">
        <w:rPr>
          <w:rFonts w:ascii="Calibri" w:hAnsi="Calibri" w:eastAsia="Calibri" w:cs="Calibri"/>
          <w:b/>
          <w:bCs/>
          <w:color w:val="FF0000"/>
        </w:rPr>
        <w:t xml:space="preserve"> </w:t>
      </w:r>
      <w:r w:rsidR="00101121">
        <w:rPr>
          <w:rFonts w:ascii="Calibri" w:hAnsi="Calibri" w:eastAsia="Calibri" w:cs="Calibri"/>
          <w:color w:val="000000" w:themeColor="text1"/>
        </w:rPr>
        <w:t>9</w:t>
      </w:r>
    </w:p>
    <w:p w:rsidR="008205B2" w:rsidP="000A1EAA" w:rsidRDefault="1B56489F" w14:paraId="083E0F20" w14:textId="2E3136EA">
      <w:pPr>
        <w:spacing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58A69796" w:rsidR="58A6979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General Notes: </w:t>
      </w:r>
      <w:r w:rsidRPr="58A69796" w:rsidR="58A69796">
        <w:rPr>
          <w:rFonts w:ascii="Calibri" w:hAnsi="Calibri" w:eastAsia="Calibri" w:cs="Calibri"/>
          <w:color w:val="000000" w:themeColor="text1" w:themeTint="FF" w:themeShade="FF"/>
        </w:rPr>
        <w:t>Substantial travel is associated with the position. Those selected will be required to attend a mandatory virtual training. Overtime is expected.</w:t>
      </w:r>
    </w:p>
    <w:p w:rsidR="000A1EAA" w:rsidP="000A1EAA" w:rsidRDefault="000A1EAA" w14:paraId="39B26CB1" w14:textId="77777777">
      <w:pPr>
        <w:contextualSpacing/>
        <w:jc w:val="both"/>
        <w:rPr>
          <w:rFonts w:ascii="Calibri" w:hAnsi="Calibri" w:eastAsia="Calibri" w:cs="Calibri"/>
          <w:color w:val="000000" w:themeColor="text1"/>
        </w:rPr>
      </w:pPr>
    </w:p>
    <w:p w:rsidR="008205B2" w:rsidP="2DF5065F" w:rsidRDefault="2DF5065F" w14:paraId="6E452E31" w14:textId="6F24EB69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58A69796" w:rsidR="58A6979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 Mission</w:t>
      </w:r>
    </w:p>
    <w:p w:rsidR="58A69796" w:rsidP="58A69796" w:rsidRDefault="58A69796" w14:paraId="791C2F15" w14:textId="0639E0A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8A69796" w:rsidR="58A6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8A69796" w:rsidR="58A6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youth education outreach program that targets underserved and low-income communities in Austin, Houston, and Southwest Texas. The Jackson School of Geosciences at the University of Texas created </w:t>
      </w:r>
      <w:proofErr w:type="spellStart"/>
      <w:r w:rsidRPr="58A69796" w:rsidR="58A6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58A69796" w:rsidR="58A6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="58A69796" w:rsidP="58A69796" w:rsidRDefault="58A69796" w14:paraId="7A787A2F" w14:textId="5C2BDBC9">
      <w:pPr>
        <w:spacing w:line="240" w:lineRule="auto"/>
        <w:contextualSpacing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08205B2" w:rsidP="2DF5065F" w:rsidRDefault="2DF5065F" w14:paraId="54E30718" w14:textId="25CBE7E8">
      <w:pPr>
        <w:spacing w:line="240" w:lineRule="auto"/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Purpose</w:t>
      </w:r>
    </w:p>
    <w:p w:rsidR="008205B2" w:rsidP="2DF5065F" w:rsidRDefault="2DF5065F" w14:paraId="460F9B56" w14:textId="42445B7E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  <w:r w:rsidRPr="58A69796" w:rsidR="58A69796">
        <w:rPr>
          <w:rFonts w:ascii="Calibri" w:hAnsi="Calibri" w:eastAsia="Calibri" w:cs="Calibri"/>
          <w:color w:val="000000" w:themeColor="text1" w:themeTint="FF" w:themeShade="FF"/>
        </w:rPr>
        <w:t xml:space="preserve">Educational Coaches (ECs) are activity and inclusive pedagogy experts for the </w:t>
      </w:r>
      <w:proofErr w:type="spellStart"/>
      <w:r w:rsidRPr="58A69796" w:rsidR="58A69796">
        <w:rPr>
          <w:rFonts w:ascii="Calibri" w:hAnsi="Calibri" w:eastAsia="Calibri" w:cs="Calibri"/>
          <w:color w:val="000000" w:themeColor="text1" w:themeTint="FF" w:themeShade="FF"/>
        </w:rPr>
        <w:t>GeoFORCE</w:t>
      </w:r>
      <w:proofErr w:type="spellEnd"/>
      <w:r w:rsidRPr="58A69796" w:rsidR="58A69796">
        <w:rPr>
          <w:rFonts w:ascii="Calibri" w:hAnsi="Calibri" w:eastAsia="Calibri" w:cs="Calibri"/>
          <w:color w:val="000000" w:themeColor="text1" w:themeTint="FF" w:themeShade="FF"/>
        </w:rPr>
        <w:t xml:space="preserve">/STEMFORCE field academies. They ensure students are learning and work as a team with a lead summer coordinator and lead instructor. ECs facilitate activities pertaining to the educational content originally delivered by the lead instructor. </w:t>
      </w:r>
    </w:p>
    <w:p w:rsidR="008205B2" w:rsidP="2DF5065F" w:rsidRDefault="008205B2" w14:paraId="07F64E92" w14:textId="65432404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="008205B2" w:rsidP="2DF5065F" w:rsidRDefault="2DF5065F" w14:paraId="5DC04633" w14:textId="57613B4C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Essential Functions</w:t>
      </w:r>
    </w:p>
    <w:p w:rsidR="008205B2" w:rsidP="2DF5065F" w:rsidRDefault="2DF5065F" w14:paraId="5A43427D" w14:textId="1B787B0A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Develop and lead classroom activities (e.g. games, skits, writing or drawing exercises) that review and reinforce material presented during the field portion of each day. 45%</w:t>
      </w:r>
    </w:p>
    <w:p w:rsidR="008205B2" w:rsidP="2DF5065F" w:rsidRDefault="2DF5065F" w14:paraId="612BA595" w14:textId="26FBBE63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Facilitate student learning by circulating amongst student groups in the field and during lecture, observing students and asking the lead instructor to clarify points of confusion. 15%</w:t>
      </w:r>
    </w:p>
    <w:p w:rsidR="008205B2" w:rsidP="3DE0E1B5" w:rsidRDefault="2DF5065F" w14:paraId="34D60F54" w14:textId="6F03461F">
      <w:pPr>
        <w:pStyle w:val="ListParagraph"/>
        <w:numPr>
          <w:ilvl w:val="0"/>
          <w:numId w:val="5"/>
        </w:numPr>
        <w:spacing w:after="0" w:line="240" w:lineRule="auto"/>
        <w:rPr>
          <w:rFonts w:eastAsia="" w:eastAsiaTheme="minorEastAsia"/>
          <w:color w:val="000000" w:themeColor="text1"/>
        </w:rPr>
      </w:pPr>
      <w:r w:rsidRPr="3DE0E1B5" w:rsidR="3DE0E1B5">
        <w:rPr>
          <w:rFonts w:ascii="Calibri" w:hAnsi="Calibri" w:eastAsia="Calibri" w:cs="Calibri"/>
          <w:color w:val="000000" w:themeColor="text1" w:themeTint="FF" w:themeShade="FF"/>
        </w:rPr>
        <w:t>Help organize and carry out in-field and in-classroom small group activities and assist the instructor as needed. 10%</w:t>
      </w:r>
    </w:p>
    <w:p w:rsidR="008205B2" w:rsidP="2DF5065F" w:rsidRDefault="2DF5065F" w14:paraId="14086999" w14:textId="6DD44838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  <w:color w:val="000000" w:themeColor="text1"/>
        </w:rPr>
      </w:pPr>
      <w:r w:rsidRPr="3DE0E1B5" w:rsidR="3DE0E1B5">
        <w:rPr>
          <w:rFonts w:ascii="Calibri" w:hAnsi="Calibri" w:eastAsia="Calibri" w:cs="Calibri"/>
          <w:color w:val="000000" w:themeColor="text1" w:themeTint="FF" w:themeShade="FF"/>
        </w:rPr>
        <w:t>Guide and mentor counselors with assisting with reviews and activities and in grading assessments. 10%</w:t>
      </w:r>
    </w:p>
    <w:p w:rsidR="008205B2" w:rsidP="3DE0E1B5" w:rsidRDefault="2DF5065F" w14:paraId="40EE740A" w14:textId="6F9721A0">
      <w:pPr>
        <w:pStyle w:val="ListParagraph"/>
        <w:numPr>
          <w:ilvl w:val="0"/>
          <w:numId w:val="5"/>
        </w:numPr>
        <w:spacing w:after="0" w:line="240" w:lineRule="auto"/>
        <w:rPr>
          <w:rFonts w:eastAsia="" w:eastAsiaTheme="minorEastAsia"/>
          <w:color w:val="000000" w:themeColor="text1"/>
        </w:rPr>
      </w:pPr>
      <w:r w:rsidRPr="3DE0E1B5" w:rsidR="3DE0E1B5">
        <w:rPr>
          <w:rFonts w:ascii="Calibri" w:hAnsi="Calibri" w:eastAsia="Calibri" w:cs="Calibri"/>
          <w:color w:val="000000" w:themeColor="text1" w:themeTint="FF" w:themeShade="FF"/>
        </w:rPr>
        <w:t>Administer and grade formative assessments, including quizzes, projects, or summative assessments. 10%</w:t>
      </w:r>
    </w:p>
    <w:p w:rsidR="008205B2" w:rsidP="3DE0E1B5" w:rsidRDefault="2DF5065F" w14:paraId="40E274FB" w14:textId="144C41E1">
      <w:pPr>
        <w:pStyle w:val="ListParagraph"/>
        <w:numPr>
          <w:ilvl w:val="0"/>
          <w:numId w:val="5"/>
        </w:numPr>
        <w:spacing w:after="0" w:line="240" w:lineRule="auto"/>
        <w:rPr>
          <w:rFonts w:eastAsia="" w:eastAsiaTheme="minorEastAsia"/>
          <w:color w:val="000000" w:themeColor="text1"/>
        </w:rPr>
      </w:pPr>
      <w:r w:rsidRPr="3DE0E1B5" w:rsidR="3DE0E1B5">
        <w:rPr>
          <w:rFonts w:ascii="Calibri" w:hAnsi="Calibri" w:eastAsia="Calibri" w:cs="Calibri"/>
          <w:color w:val="000000" w:themeColor="text1" w:themeTint="FF" w:themeShade="FF"/>
        </w:rPr>
        <w:t>Familiarize oneself with the academy material by reading the guidebook before the trip begins. 5%</w:t>
      </w:r>
    </w:p>
    <w:p w:rsidR="008205B2" w:rsidP="3DE0E1B5" w:rsidRDefault="2DF5065F" w14:paraId="60A62EFE" w14:textId="1D95DDF2">
      <w:pPr>
        <w:pStyle w:val="ListParagraph"/>
        <w:numPr>
          <w:ilvl w:val="0"/>
          <w:numId w:val="5"/>
        </w:numPr>
        <w:spacing w:after="0" w:line="240" w:lineRule="auto"/>
        <w:rPr>
          <w:rFonts w:eastAsia="" w:eastAsiaTheme="minorEastAsia"/>
          <w:color w:val="000000" w:themeColor="text1"/>
        </w:rPr>
      </w:pPr>
      <w:r w:rsidRPr="3DE0E1B5" w:rsidR="3DE0E1B5">
        <w:rPr>
          <w:rFonts w:ascii="Calibri" w:hAnsi="Calibri" w:eastAsia="Calibri" w:cs="Calibri"/>
          <w:color w:val="000000" w:themeColor="text1" w:themeTint="FF" w:themeShade="FF"/>
        </w:rPr>
        <w:t>Other related functions as assigned. 5%</w:t>
      </w:r>
    </w:p>
    <w:p w:rsidR="008205B2" w:rsidP="2DF5065F" w:rsidRDefault="008205B2" w14:paraId="431E40BE" w14:textId="04C9B661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="008205B2" w:rsidP="2DF5065F" w:rsidRDefault="2DF5065F" w14:paraId="1F5DBA2A" w14:textId="62E6A3DF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08205B2" w:rsidP="58A69796" w:rsidRDefault="008205B2" w14:paraId="54F5FF1E" w14:textId="1F69EBBC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eastAsia="" w:eastAsiaTheme="minorEastAsia"/>
          <w:color w:val="000000" w:themeColor="text1"/>
        </w:rPr>
      </w:pPr>
      <w:r w:rsidRPr="58A69796" w:rsidR="58A69796">
        <w:rPr>
          <w:rFonts w:ascii="Calibri" w:hAnsi="Calibri" w:eastAsia="Calibri" w:cs="Calibri"/>
          <w:color w:val="000000" w:themeColor="text1" w:themeTint="FF" w:themeShade="FF"/>
        </w:rPr>
        <w:t>Bachelor's degree or higher in education, STEM education, or a STEM field.</w:t>
      </w:r>
    </w:p>
    <w:p w:rsidR="58A69796" w:rsidP="58A69796" w:rsidRDefault="58A69796" w14:paraId="7BB05924" w14:textId="55A94001">
      <w:pPr>
        <w:spacing w:line="240" w:lineRule="auto"/>
        <w:contextualSpacing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008205B2" w:rsidP="2DF5065F" w:rsidRDefault="2DF5065F" w14:paraId="1B9485F8" w14:textId="7A08D77B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Preferred Qualifications</w:t>
      </w:r>
    </w:p>
    <w:p w:rsidR="008205B2" w:rsidP="2DF5065F" w:rsidRDefault="2DF5065F" w14:paraId="3E4F2F7B" w14:textId="52F8E40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Classroom teaching experience.</w:t>
      </w:r>
    </w:p>
    <w:p w:rsidR="008205B2" w:rsidP="2DF5065F" w:rsidRDefault="2DF5065F" w14:paraId="60438BC1" w14:textId="48740C12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Academic enrichment experience with secondary school populations from economically disadvantaged and academically under-served populations.</w:t>
      </w:r>
    </w:p>
    <w:p w:rsidR="008205B2" w:rsidP="2DF5065F" w:rsidRDefault="2DF5065F" w14:paraId="3EA9FE7B" w14:textId="1844FBE5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Spanish fluency desired.</w:t>
      </w:r>
    </w:p>
    <w:p w:rsidR="008205B2" w:rsidP="2DF5065F" w:rsidRDefault="008205B2" w14:paraId="2CFCB78A" w14:textId="5E0D2B40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="008205B2" w:rsidP="2DF5065F" w:rsidRDefault="2DF5065F" w14:paraId="5F8386D3" w14:textId="2E99579C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Working Conditions</w:t>
      </w:r>
    </w:p>
    <w:p w:rsidR="008205B2" w:rsidP="2DF5065F" w:rsidRDefault="2DF5065F" w14:paraId="3A025E41" w14:textId="5C3E8837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May work in all weather conditions.</w:t>
      </w:r>
    </w:p>
    <w:p w:rsidR="008205B2" w:rsidP="2DF5065F" w:rsidRDefault="2DF5065F" w14:paraId="4C6165F6" w14:textId="4634BBA4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Will work outside.</w:t>
      </w:r>
    </w:p>
    <w:p w:rsidR="008205B2" w:rsidP="2DF5065F" w:rsidRDefault="2DF5065F" w14:paraId="118990B5" w14:textId="2FCD775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May work in extreme temperatures.</w:t>
      </w:r>
    </w:p>
    <w:p w:rsidR="008205B2" w:rsidP="2DF5065F" w:rsidRDefault="2DF5065F" w14:paraId="0F6BF367" w14:textId="3AF436B2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May work around standard office conditions.</w:t>
      </w:r>
    </w:p>
    <w:p w:rsidR="008205B2" w:rsidP="2DF5065F" w:rsidRDefault="2DF5065F" w14:paraId="6171719D" w14:textId="21769159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Climbing of stairs and hiking.</w:t>
      </w:r>
    </w:p>
    <w:p w:rsidR="008205B2" w:rsidP="2DF5065F" w:rsidRDefault="2DF5065F" w14:paraId="2ED53B25" w14:textId="0B65919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Will involve airplane, bus, and/or automobile travel.</w:t>
      </w:r>
    </w:p>
    <w:p w:rsidR="008205B2" w:rsidP="2DF5065F" w:rsidRDefault="008205B2" w14:paraId="3F7EE608" w14:textId="199DA8DF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="008205B2" w:rsidP="2DF5065F" w:rsidRDefault="2DF5065F" w14:paraId="10E6D621" w14:textId="7532D6C4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08205B2" w:rsidP="2DF5065F" w:rsidRDefault="2DF5065F" w14:paraId="52F4601C" w14:textId="221C7E6D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Candidates for the GeoFORCE/STEMFORCE instructor position are subject to all UT all policies as set forth by the University of Texas Youth Protection Program, UT Human Resources, and GeoFORCE Texas:</w:t>
      </w:r>
    </w:p>
    <w:p w:rsidR="008205B2" w:rsidP="2DF5065F" w:rsidRDefault="00101121" w14:paraId="444F583B" w14:textId="6151CC4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hyperlink r:id="rId5">
        <w:r w:rsidRPr="2DF5065F" w:rsidR="2DF5065F">
          <w:rPr>
            <w:rStyle w:val="Hyperlink"/>
            <w:rFonts w:ascii="Calibri Light" w:hAnsi="Calibri Light" w:eastAsia="Calibri Light" w:cs="Calibri Light"/>
            <w:sz w:val="24"/>
            <w:szCs w:val="24"/>
          </w:rPr>
          <w:t>Youth Protection Program Guidebook</w:t>
        </w:r>
      </w:hyperlink>
    </w:p>
    <w:p w:rsidR="008205B2" w:rsidP="2DF5065F" w:rsidRDefault="2DF5065F" w14:paraId="51DCDD6C" w14:textId="217F8F31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Zero-tolerance no alcohol policy throughout the field experience</w:t>
      </w:r>
    </w:p>
    <w:p w:rsidR="008205B2" w:rsidP="2DF5065F" w:rsidRDefault="008205B2" w14:paraId="232186A8" w14:textId="42AE881D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</w:p>
    <w:p w:rsidR="008205B2" w:rsidP="2DF5065F" w:rsidRDefault="2DF5065F" w14:paraId="0737842F" w14:textId="3AD12808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Child-safety training</w:t>
      </w:r>
    </w:p>
    <w:p w:rsidR="008205B2" w:rsidP="2DF5065F" w:rsidRDefault="00101121" w14:paraId="40835327" w14:textId="33E439A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hyperlink r:id="rId6">
        <w:r w:rsidRPr="2DF5065F" w:rsidR="2DF5065F">
          <w:rPr>
            <w:rStyle w:val="Hyperlink"/>
            <w:rFonts w:ascii="Calibri Light" w:hAnsi="Calibri Light" w:eastAsia="Calibri Light" w:cs="Calibri Light"/>
            <w:sz w:val="24"/>
            <w:szCs w:val="24"/>
          </w:rPr>
          <w:t>UT Camp Worker Guide</w:t>
        </w:r>
      </w:hyperlink>
    </w:p>
    <w:p w:rsidR="008205B2" w:rsidP="2DF5065F" w:rsidRDefault="2DF5065F" w14:paraId="72F92E92" w14:textId="4ED4F80A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008205B2" w:rsidP="2DF5065F" w:rsidRDefault="2DF5065F" w14:paraId="369EE184" w14:textId="79736FF9">
      <w:pPr>
        <w:pStyle w:val="ListParagraph"/>
        <w:numPr>
          <w:ilvl w:val="1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2DF5065F">
        <w:rPr>
          <w:rFonts w:ascii="Calibri" w:hAnsi="Calibri" w:eastAsia="Calibri" w:cs="Calibri"/>
          <w:color w:val="000000" w:themeColor="text1"/>
        </w:rPr>
        <w:t>If hired, you will be required to complete the federal Employment Eligibility Verification form, I-9. You will be required to present acceptable, original documents</w:t>
      </w:r>
      <w:r w:rsidRPr="2DF5065F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DF5065F">
        <w:rPr>
          <w:rFonts w:ascii="Calibri" w:hAnsi="Calibri" w:eastAsia="Calibri" w:cs="Calibri"/>
          <w:color w:val="000000" w:themeColor="text1"/>
        </w:rPr>
        <w:t xml:space="preserve">to prove your identity and authorization to work in the United States. Information from the </w:t>
      </w:r>
      <w:r w:rsidRPr="2DF5065F">
        <w:rPr>
          <w:rFonts w:ascii="Calibri" w:hAnsi="Calibri" w:eastAsia="Calibri" w:cs="Calibri"/>
          <w:color w:val="000000" w:themeColor="text1"/>
        </w:rPr>
        <w:lastRenderedPageBreak/>
        <w:t>documents will be submitted to the federal E-Verify system for verification. Documents must be presented no later than the third day of employment. Failure to do so will result in dismissal.</w:t>
      </w:r>
    </w:p>
    <w:p w:rsidR="008205B2" w:rsidP="2DF5065F" w:rsidRDefault="008205B2" w14:paraId="7EDF47EF" w14:textId="6DB97732">
      <w:pPr>
        <w:spacing w:line="240" w:lineRule="auto"/>
        <w:contextualSpacing/>
        <w:rPr>
          <w:rFonts w:ascii="Calibri" w:hAnsi="Calibri" w:eastAsia="Calibri" w:cs="Calibri"/>
          <w:color w:val="000000" w:themeColor="text1"/>
        </w:rPr>
      </w:pPr>
    </w:p>
    <w:p w:rsidR="5BF8E453" w:rsidP="5BF8E453" w:rsidRDefault="5BF8E453" w14:paraId="2F21EB79" w14:textId="233952E5">
      <w:pPr>
        <w:pStyle w:val="Normal"/>
        <w:bidi w:val="0"/>
        <w:spacing w:before="0" w:beforeAutospacing="off" w:after="16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5BF8E453" w:rsidR="5BF8E453">
        <w:rPr>
          <w:rFonts w:ascii="Calibri" w:hAnsi="Calibri" w:eastAsia="Calibri" w:cs="Calibri"/>
          <w:color w:val="000000" w:themeColor="text1" w:themeTint="FF" w:themeShade="FF"/>
        </w:rPr>
        <w:t>The University of Texas at Austin, as an equal opportunity/affirmative action employer, complies with all applicable federal and state laws regarding nondiscrimination.</w:t>
      </w:r>
    </w:p>
    <w:sectPr w:rsidR="008205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5583"/>
    <w:multiLevelType w:val="hybridMultilevel"/>
    <w:tmpl w:val="E78A5646"/>
    <w:lvl w:ilvl="0" w:tplc="10108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B632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CF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88D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06D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E62C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8AFD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4B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B2D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D0612"/>
    <w:multiLevelType w:val="hybridMultilevel"/>
    <w:tmpl w:val="E01893C2"/>
    <w:lvl w:ilvl="0" w:tplc="0FD49B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2226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8AD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DAE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5657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5EB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6A46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EAD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AE07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D5AA9A"/>
    <w:multiLevelType w:val="hybridMultilevel"/>
    <w:tmpl w:val="ABC42A34"/>
    <w:lvl w:ilvl="0" w:tplc="5B1483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B87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04CF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8A6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EEA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8AA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5AA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AEA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50C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25B797"/>
    <w:multiLevelType w:val="hybridMultilevel"/>
    <w:tmpl w:val="E62A7A16"/>
    <w:lvl w:ilvl="0" w:tplc="0AAA7E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5A91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44A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F41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5C2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2C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C085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4007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9C84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8D684B"/>
    <w:multiLevelType w:val="hybridMultilevel"/>
    <w:tmpl w:val="FB464EF6"/>
    <w:lvl w:ilvl="0" w:tplc="C7629C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0656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2EB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1022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60D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44E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244F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E0B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DEEC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9F496"/>
    <w:rsid w:val="000A1EAA"/>
    <w:rsid w:val="00101121"/>
    <w:rsid w:val="00791816"/>
    <w:rsid w:val="008205B2"/>
    <w:rsid w:val="00A138DF"/>
    <w:rsid w:val="1B56489F"/>
    <w:rsid w:val="2DF5065F"/>
    <w:rsid w:val="3DE0E1B5"/>
    <w:rsid w:val="58A69796"/>
    <w:rsid w:val="5BF8E453"/>
    <w:rsid w:val="63810217"/>
    <w:rsid w:val="6F59F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F496"/>
  <w15:chartTrackingRefBased/>
  <w15:docId w15:val="{255352DE-68B5-4061-8DDE-B79C66F7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hyperlink" Target="https://youthprotectionprogram.utexas.edu/directors/guidebook/" TargetMode="External" Id="rId5" /><Relationship Type="http://schemas.openxmlformats.org/officeDocument/2006/relationships/webSettings" Target="webSettings.xml" Id="rId4" /><Relationship Type="http://schemas.microsoft.com/office/2011/relationships/people" Target="people.xml" Id="R1b3c4e7399cc4d06" /><Relationship Type="http://schemas.microsoft.com/office/2011/relationships/commentsExtended" Target="commentsExtended.xml" Id="R4930435bda5a40dc" /><Relationship Type="http://schemas.microsoft.com/office/2016/09/relationships/commentsIds" Target="commentsIds.xml" Id="R11cf4811d99048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Jasmine Gulick</lastModifiedBy>
  <revision>8</revision>
  <dcterms:created xsi:type="dcterms:W3CDTF">2022-10-13T18:44:00.0000000Z</dcterms:created>
  <dcterms:modified xsi:type="dcterms:W3CDTF">2023-11-02T20:40:36.2768136Z</dcterms:modified>
</coreProperties>
</file>