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F4E8D" w14:textId="77777777" w:rsidR="00383A05" w:rsidRPr="00B05095" w:rsidRDefault="00383A05" w:rsidP="00383A05">
      <w:pPr>
        <w:pStyle w:val="Title"/>
      </w:pPr>
      <w:r>
        <w:t>HW-5.1</w:t>
      </w:r>
      <w:r w:rsidRPr="00B05095">
        <w:t xml:space="preserve">: Determining </w:t>
      </w:r>
      <w:r>
        <w:t>Normal Compaction Trend (NCT)</w:t>
      </w:r>
    </w:p>
    <w:p w14:paraId="079569A4" w14:textId="006101D6" w:rsidR="008F50F3" w:rsidRPr="00365DD0" w:rsidRDefault="008F50F3" w:rsidP="00FD6E37">
      <w:pPr>
        <w:rPr>
          <w:rStyle w:val="Heading1Char"/>
        </w:rPr>
      </w:pPr>
      <w:r w:rsidRPr="00365DD0">
        <w:rPr>
          <w:rStyle w:val="Heading1Char"/>
        </w:rPr>
        <w:t>ANSWERS</w:t>
      </w:r>
    </w:p>
    <w:p w14:paraId="4A2F9C7D" w14:textId="1B1B6DA6" w:rsidR="003D2227" w:rsidRPr="00F442F0" w:rsidRDefault="003D2227" w:rsidP="003D2227">
      <w:pPr>
        <w:rPr>
          <w:sz w:val="24"/>
          <w:szCs w:val="24"/>
        </w:rPr>
      </w:pPr>
      <w:r>
        <w:rPr>
          <w:sz w:val="24"/>
          <w:szCs w:val="24"/>
        </w:rPr>
        <w:t>This homework supplements the discussion over the derivation of normal compaction parameters discussed in</w:t>
      </w:r>
      <w:r w:rsidR="00C46B16">
        <w:rPr>
          <w:sz w:val="24"/>
          <w:szCs w:val="24"/>
        </w:rPr>
        <w:t xml:space="preserve"> Chapter 5</w:t>
      </w:r>
      <w:r>
        <w:rPr>
          <w:sz w:val="24"/>
          <w:szCs w:val="24"/>
        </w:rPr>
        <w:t xml:space="preserve"> </w:t>
      </w:r>
      <w:r>
        <w:rPr>
          <w:sz w:val="24"/>
          <w:szCs w:val="24"/>
        </w:rPr>
        <w:fldChar w:fldCharType="begin"/>
      </w:r>
      <w:r>
        <w:rPr>
          <w:sz w:val="24"/>
          <w:szCs w:val="24"/>
        </w:rPr>
        <w:instrText xml:space="preserve"> ADDIN EN.CITE &lt;EndNote&gt;&lt;Cite&gt;&lt;Author&gt;Flemings&lt;/Author&gt;&lt;Year&gt;2021&lt;/Year&gt;&lt;RecNum&gt;4105&lt;/RecNum&gt;&lt;DisplayText&gt;(Flemings, 2021)&lt;/DisplayText&gt;&lt;record&gt;&lt;rec-number&gt;4105&lt;/rec-number&gt;&lt;foreign-keys&gt;&lt;key app="EN" db-id="dfx0w90px50esfe00fnpsws0rztwp5vp2wxx" timestamp="1607782311" guid="126cb659-2e16-444f-b623-991c72e72d1c"&gt;4105&lt;/key&gt;&lt;/foreign-keys&gt;&lt;ref-type name="Book"&gt;6&lt;/ref-type&gt;&lt;contributors&gt;&lt;authors&gt;&lt;author&gt;Flemings, P&lt;/author&gt;&lt;/authors&gt;&lt;/contributors&gt;&lt;titles&gt;&lt;title&gt;A Concise Guide to Geopressure: Origin, Prediction, and Applications&lt;/title&gt;&lt;/titles&gt;&lt;dates&gt;&lt;year&gt;2021&lt;/year&gt;&lt;/dates&gt;&lt;publisher&gt;Cambridge Press&lt;/publisher&gt;&lt;urls&gt;&lt;/urls&gt;&lt;/record&gt;&lt;/Cite&gt;&lt;/EndNote&gt;</w:instrText>
      </w:r>
      <w:r>
        <w:rPr>
          <w:sz w:val="24"/>
          <w:szCs w:val="24"/>
        </w:rPr>
        <w:fldChar w:fldCharType="separate"/>
      </w:r>
      <w:r>
        <w:rPr>
          <w:noProof/>
          <w:sz w:val="24"/>
          <w:szCs w:val="24"/>
        </w:rPr>
        <w:t>(Flemings, 2021)</w:t>
      </w:r>
      <w:r>
        <w:rPr>
          <w:sz w:val="24"/>
          <w:szCs w:val="24"/>
        </w:rPr>
        <w:fldChar w:fldCharType="end"/>
      </w:r>
      <w:r>
        <w:rPr>
          <w:sz w:val="24"/>
          <w:szCs w:val="24"/>
        </w:rPr>
        <w:t xml:space="preserve">. </w:t>
      </w:r>
      <w:r w:rsidRPr="00F442F0">
        <w:rPr>
          <w:sz w:val="24"/>
          <w:szCs w:val="24"/>
        </w:rPr>
        <w:t>We will use various approaches to determine</w:t>
      </w:r>
      <w:r>
        <w:rPr>
          <w:sz w:val="24"/>
          <w:szCs w:val="24"/>
        </w:rPr>
        <w:t xml:space="preserve"> the normal compaction trend (NCT)</w:t>
      </w:r>
      <w:r w:rsidRPr="00F442F0">
        <w:rPr>
          <w:sz w:val="24"/>
          <w:szCs w:val="24"/>
        </w:rPr>
        <w:t xml:space="preserve">. We will use the Eugene Island 33#1 well to determine </w:t>
      </w:r>
      <w:r>
        <w:rPr>
          <w:sz w:val="24"/>
          <w:szCs w:val="24"/>
        </w:rPr>
        <w:t>the NCT</w:t>
      </w:r>
      <w:r w:rsidRPr="00F442F0">
        <w:rPr>
          <w:sz w:val="24"/>
          <w:szCs w:val="24"/>
        </w:rPr>
        <w:t xml:space="preserve"> (Fig 1). This well has the most complete suite of shallow log data </w:t>
      </w:r>
      <w:r>
        <w:rPr>
          <w:sz w:val="24"/>
          <w:szCs w:val="24"/>
        </w:rPr>
        <w:t xml:space="preserve">that is close to the 330 A20 well where we wish to predict pressure. </w:t>
      </w:r>
      <w:r w:rsidRPr="00F442F0">
        <w:rPr>
          <w:sz w:val="24"/>
          <w:szCs w:val="24"/>
        </w:rPr>
        <w:t>In this well, pressures are approximately hydrostatic to 5,000 feet.</w:t>
      </w:r>
      <w:r w:rsidRPr="004864D6">
        <w:rPr>
          <w:rFonts w:eastAsiaTheme="minorEastAsia"/>
          <w:sz w:val="24"/>
          <w:szCs w:val="24"/>
        </w:rPr>
        <w:t xml:space="preserve"> </w:t>
      </w:r>
      <w:r>
        <w:rPr>
          <w:rFonts w:eastAsiaTheme="minorEastAsia"/>
          <w:sz w:val="24"/>
          <w:szCs w:val="24"/>
        </w:rPr>
        <w:t xml:space="preserve">We will use the spreadsheet </w:t>
      </w:r>
      <w:r w:rsidRPr="0053657D">
        <w:rPr>
          <w:b/>
        </w:rPr>
        <w:t xml:space="preserve">‘NCT_Spread_sheet_and_PPP_EI-330’ </w:t>
      </w:r>
      <w:r>
        <w:rPr>
          <w:rFonts w:eastAsiaTheme="minorEastAsia"/>
          <w:sz w:val="24"/>
          <w:szCs w:val="24"/>
        </w:rPr>
        <w:t xml:space="preserve">to interpret the normal compaction trend parameters for the 331 #1 data.  </w:t>
      </w:r>
    </w:p>
    <w:p w14:paraId="1C148E72" w14:textId="77777777" w:rsidR="00FB17D8" w:rsidRPr="001B1838" w:rsidRDefault="007D5ADD" w:rsidP="00917C08">
      <w:pPr>
        <w:spacing w:after="0"/>
        <w:rPr>
          <w:rFonts w:eastAsiaTheme="minorEastAsia"/>
          <w:sz w:val="24"/>
          <w:szCs w:val="24"/>
        </w:rPr>
      </w:pPr>
      <w:r w:rsidRPr="001B1838">
        <w:rPr>
          <w:noProof/>
          <w:sz w:val="24"/>
          <w:szCs w:val="24"/>
        </w:rPr>
        <w:drawing>
          <wp:inline distT="0" distB="0" distL="0" distR="0" wp14:anchorId="02BCB32D" wp14:editId="168B2E07">
            <wp:extent cx="4626047" cy="4819650"/>
            <wp:effectExtent l="0" t="0" r="317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8971" t="9305" r="10770" b="26157"/>
                    <a:stretch/>
                  </pic:blipFill>
                  <pic:spPr bwMode="auto">
                    <a:xfrm>
                      <a:off x="0" y="0"/>
                      <a:ext cx="4639259" cy="4833415"/>
                    </a:xfrm>
                    <a:prstGeom prst="rect">
                      <a:avLst/>
                    </a:prstGeom>
                    <a:ln>
                      <a:noFill/>
                    </a:ln>
                    <a:extLst>
                      <a:ext uri="{53640926-AAD7-44D8-BBD7-CCE9431645EC}">
                        <a14:shadowObscured xmlns:a14="http://schemas.microsoft.com/office/drawing/2010/main"/>
                      </a:ext>
                    </a:extLst>
                  </pic:spPr>
                </pic:pic>
              </a:graphicData>
            </a:graphic>
          </wp:inline>
        </w:drawing>
      </w:r>
    </w:p>
    <w:p w14:paraId="5BA97D4F" w14:textId="77777777" w:rsidR="007D5ADD" w:rsidRPr="001B1838" w:rsidRDefault="007D5ADD" w:rsidP="00917C08">
      <w:pPr>
        <w:ind w:left="720"/>
        <w:rPr>
          <w:rFonts w:eastAsiaTheme="minorEastAsia"/>
          <w:b/>
          <w:i/>
          <w:sz w:val="24"/>
          <w:szCs w:val="24"/>
        </w:rPr>
      </w:pPr>
      <w:r w:rsidRPr="001B1838">
        <w:rPr>
          <w:rFonts w:eastAsiaTheme="minorEastAsia"/>
          <w:b/>
          <w:i/>
          <w:sz w:val="24"/>
          <w:szCs w:val="24"/>
        </w:rPr>
        <w:t>Fig. 1: 331B10 well. This is along the same path as the 331#1. Pore pressures are approximately hydrostatic to at least 4000 feet and perhaps 6,000 feet.</w:t>
      </w:r>
    </w:p>
    <w:p w14:paraId="10392DFF" w14:textId="77777777" w:rsidR="00917C08" w:rsidRPr="001B1838" w:rsidRDefault="007D5ADD" w:rsidP="00917C08">
      <w:pPr>
        <w:spacing w:after="0"/>
        <w:jc w:val="center"/>
        <w:rPr>
          <w:rFonts w:eastAsiaTheme="minorEastAsia"/>
          <w:sz w:val="24"/>
          <w:szCs w:val="24"/>
        </w:rPr>
      </w:pPr>
      <w:r w:rsidRPr="001B1838">
        <w:rPr>
          <w:noProof/>
          <w:sz w:val="24"/>
          <w:szCs w:val="24"/>
        </w:rPr>
        <w:lastRenderedPageBreak/>
        <w:drawing>
          <wp:inline distT="0" distB="0" distL="0" distR="0" wp14:anchorId="57D64260" wp14:editId="51BD4F84">
            <wp:extent cx="4201886" cy="3385457"/>
            <wp:effectExtent l="0" t="0" r="27305"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A6517F" w14:textId="77777777" w:rsidR="007D5ADD" w:rsidRPr="001B1838" w:rsidRDefault="007D5ADD" w:rsidP="00A1473F">
      <w:pPr>
        <w:ind w:left="1170" w:right="1170"/>
        <w:rPr>
          <w:rFonts w:eastAsiaTheme="minorEastAsia"/>
          <w:b/>
          <w:sz w:val="24"/>
          <w:szCs w:val="24"/>
        </w:rPr>
      </w:pPr>
      <w:r w:rsidRPr="001B1838">
        <w:rPr>
          <w:rFonts w:eastAsiaTheme="minorEastAsia"/>
          <w:b/>
          <w:i/>
          <w:sz w:val="24"/>
          <w:szCs w:val="24"/>
        </w:rPr>
        <w:t xml:space="preserve">Fig. 2: </w:t>
      </w:r>
      <w:r w:rsidR="004F7506">
        <w:rPr>
          <w:rFonts w:eastAsiaTheme="minorEastAsia"/>
          <w:b/>
          <w:i/>
          <w:sz w:val="24"/>
          <w:szCs w:val="24"/>
        </w:rPr>
        <w:t>Mudstone</w:t>
      </w:r>
      <w:r w:rsidRPr="001B1838">
        <w:rPr>
          <w:rFonts w:eastAsiaTheme="minorEastAsia"/>
          <w:b/>
          <w:i/>
          <w:sz w:val="24"/>
          <w:szCs w:val="24"/>
        </w:rPr>
        <w:t xml:space="preserve"> picks from the Eugene Island 331 #1 well. This exploration well had the most complete log of the shallow section and is thus used to determine compression parameters. </w:t>
      </w:r>
    </w:p>
    <w:p w14:paraId="13916861" w14:textId="77777777" w:rsidR="007D5ADD" w:rsidRPr="001B1838" w:rsidRDefault="007D5ADD">
      <w:pPr>
        <w:rPr>
          <w:rFonts w:eastAsiaTheme="minorEastAsia"/>
          <w:b/>
          <w:sz w:val="24"/>
          <w:szCs w:val="24"/>
        </w:rPr>
      </w:pPr>
    </w:p>
    <w:p w14:paraId="4C5E12CD" w14:textId="77777777" w:rsidR="00365DD0" w:rsidRDefault="00365DD0">
      <w:pPr>
        <w:rPr>
          <w:rFonts w:eastAsiaTheme="minorEastAsia"/>
          <w:smallCaps/>
          <w:spacing w:val="5"/>
          <w:sz w:val="36"/>
          <w:szCs w:val="36"/>
        </w:rPr>
      </w:pPr>
      <w:r>
        <w:rPr>
          <w:rFonts w:eastAsiaTheme="minorEastAsia"/>
        </w:rPr>
        <w:br w:type="page"/>
      </w:r>
    </w:p>
    <w:p w14:paraId="500419D7" w14:textId="77777777" w:rsidR="00FB17D8" w:rsidRPr="00365DD0" w:rsidRDefault="00E77F10" w:rsidP="00365DD0">
      <w:pPr>
        <w:pStyle w:val="Heading1"/>
        <w:rPr>
          <w:rFonts w:eastAsiaTheme="minorEastAsia"/>
        </w:rPr>
      </w:pPr>
      <w:r w:rsidRPr="00365DD0">
        <w:rPr>
          <w:rFonts w:eastAsiaTheme="minorEastAsia"/>
        </w:rPr>
        <w:lastRenderedPageBreak/>
        <w:t>Hubbert Approach:</w:t>
      </w:r>
    </w:p>
    <w:p w14:paraId="48601F00" w14:textId="77777777" w:rsidR="004F7506" w:rsidRPr="00F442F0" w:rsidRDefault="004F7506" w:rsidP="004F7506">
      <w:pPr>
        <w:rPr>
          <w:rFonts w:eastAsiaTheme="minorEastAsia"/>
          <w:sz w:val="24"/>
          <w:szCs w:val="24"/>
        </w:rPr>
      </w:pPr>
      <w:r>
        <w:rPr>
          <w:rFonts w:eastAsiaTheme="minorEastAsia"/>
          <w:sz w:val="24"/>
          <w:szCs w:val="24"/>
        </w:rPr>
        <w:t>To determine the parameters n</w:t>
      </w:r>
      <w:r w:rsidRPr="0011568E">
        <w:rPr>
          <w:rFonts w:eastAsiaTheme="minorEastAsia"/>
          <w:sz w:val="24"/>
          <w:szCs w:val="24"/>
          <w:vertAlign w:val="subscript"/>
        </w:rPr>
        <w:t>o</w:t>
      </w:r>
      <w:r>
        <w:rPr>
          <w:rFonts w:eastAsiaTheme="minorEastAsia"/>
          <w:sz w:val="24"/>
          <w:szCs w:val="24"/>
        </w:rPr>
        <w:t xml:space="preserve"> and </w:t>
      </w:r>
      <m:oMath>
        <m:r>
          <w:rPr>
            <w:rFonts w:ascii="Cambria Math" w:eastAsiaTheme="minorEastAsia" w:hAnsi="Cambria Math"/>
            <w:sz w:val="24"/>
            <w:szCs w:val="24"/>
          </w:rPr>
          <m:t>β</m:t>
        </m:r>
      </m:oMath>
      <w:r w:rsidRPr="00F442F0">
        <w:rPr>
          <w:rFonts w:eastAsiaTheme="minorEastAsia"/>
          <w:sz w:val="24"/>
          <w:szCs w:val="24"/>
        </w:rPr>
        <w:t>, we first calculate the poro</w:t>
      </w:r>
      <w:proofErr w:type="spellStart"/>
      <w:r w:rsidRPr="00F442F0">
        <w:rPr>
          <w:rFonts w:eastAsiaTheme="minorEastAsia"/>
          <w:sz w:val="24"/>
          <w:szCs w:val="24"/>
        </w:rPr>
        <w:t>sity</w:t>
      </w:r>
      <w:proofErr w:type="spellEnd"/>
      <w:r>
        <w:rPr>
          <w:rFonts w:eastAsiaTheme="minorEastAsia"/>
          <w:sz w:val="24"/>
          <w:szCs w:val="24"/>
        </w:rPr>
        <w:t xml:space="preserve"> from the sonic log</w:t>
      </w:r>
      <w:r w:rsidRPr="00F442F0">
        <w:rPr>
          <w:rFonts w:eastAsiaTheme="minorEastAsia"/>
          <w:sz w:val="24"/>
          <w:szCs w:val="24"/>
        </w:rPr>
        <w:t xml:space="preserve">. </w:t>
      </w:r>
    </w:p>
    <w:p w14:paraId="2A92314C" w14:textId="77777777" w:rsidR="004F7506" w:rsidRPr="00B05095" w:rsidRDefault="004F7506" w:rsidP="004F7506">
      <w:pPr>
        <w:pStyle w:val="ListParagraph"/>
        <w:jc w:val="center"/>
        <w:rPr>
          <w:rFonts w:eastAsiaTheme="minorEastAsia"/>
          <w:sz w:val="24"/>
          <w:szCs w:val="24"/>
        </w:rPr>
      </w:pPr>
      <m:oMath>
        <m:r>
          <w:rPr>
            <w:rFonts w:ascii="Cambria Math" w:eastAsiaTheme="minorEastAsia" w:hAnsi="Cambria Math"/>
            <w:sz w:val="24"/>
            <w:szCs w:val="24"/>
          </w:rPr>
          <m:t>n=</m:t>
        </m:r>
        <m:sSup>
          <m:sSupPr>
            <m:ctrlPr>
              <w:rPr>
                <w:rFonts w:ascii="Cambria Math" w:eastAsiaTheme="minorEastAsia" w:hAnsi="Cambria Math"/>
                <w:i/>
                <w:iCs/>
                <w:sz w:val="24"/>
                <w:szCs w:val="24"/>
              </w:rPr>
            </m:ctrlPr>
          </m:sSupPr>
          <m:e>
            <m:r>
              <w:rPr>
                <w:rFonts w:ascii="Cambria Math" w:eastAsiaTheme="minorEastAsia" w:hAnsi="Cambria Math"/>
                <w:sz w:val="24"/>
                <w:szCs w:val="24"/>
              </w:rPr>
              <m:t>1- </m:t>
            </m:r>
            <m:d>
              <m:dPr>
                <m:ctrlPr>
                  <w:rPr>
                    <w:rFonts w:ascii="Cambria Math" w:eastAsiaTheme="minorEastAsia" w:hAnsi="Cambria Math"/>
                    <w:i/>
                    <w:iCs/>
                    <w:sz w:val="24"/>
                    <w:szCs w:val="24"/>
                  </w:rPr>
                </m:ctrlPr>
              </m:dPr>
              <m:e>
                <m:f>
                  <m:fPr>
                    <m:ctrlPr>
                      <w:rPr>
                        <w:rFonts w:ascii="Cambria Math" w:eastAsiaTheme="minorEastAsia" w:hAnsi="Cambria Math"/>
                        <w:i/>
                        <w:iCs/>
                        <w:sz w:val="24"/>
                        <w:szCs w:val="24"/>
                      </w:rPr>
                    </m:ctrlPr>
                  </m:fPr>
                  <m:num>
                    <m:r>
                      <w:rPr>
                        <w:rFonts w:ascii="Cambria Math" w:eastAsiaTheme="minorEastAsia" w:hAnsi="Cambria Math"/>
                        <w:sz w:val="24"/>
                        <w:szCs w:val="24"/>
                      </w:rPr>
                      <m:t>d</m:t>
                    </m:r>
                    <m:sSub>
                      <m:sSubPr>
                        <m:ctrlPr>
                          <w:rPr>
                            <w:rFonts w:ascii="Cambria Math" w:eastAsiaTheme="minorEastAsia" w:hAnsi="Cambria Math"/>
                            <w:i/>
                            <w:iCs/>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ma</m:t>
                        </m:r>
                      </m:sub>
                    </m:sSub>
                  </m:num>
                  <m:den>
                    <m:r>
                      <w:rPr>
                        <w:rFonts w:ascii="Cambria Math" w:eastAsiaTheme="minorEastAsia" w:hAnsi="Cambria Math"/>
                        <w:sz w:val="24"/>
                        <w:szCs w:val="24"/>
                      </w:rPr>
                      <m:t>dt</m:t>
                    </m:r>
                  </m:den>
                </m:f>
              </m:e>
            </m:d>
          </m:e>
          <m:sup>
            <m:f>
              <m:fPr>
                <m:ctrlPr>
                  <w:rPr>
                    <w:rFonts w:ascii="Cambria Math" w:eastAsiaTheme="minorEastAsia" w:hAnsi="Cambria Math"/>
                    <w:i/>
                    <w:iCs/>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f</m:t>
                </m:r>
              </m:den>
            </m:f>
          </m:sup>
        </m:sSup>
      </m:oMath>
      <w:r>
        <w:rPr>
          <w:rFonts w:eastAsiaTheme="minorEastAsia"/>
          <w:sz w:val="24"/>
          <w:szCs w:val="24"/>
        </w:rPr>
        <w:tab/>
        <w:t xml:space="preserve"> Eq. 1</w:t>
      </w:r>
    </w:p>
    <w:p w14:paraId="4579F279" w14:textId="77777777" w:rsidR="004F7506" w:rsidRPr="00B05095" w:rsidRDefault="004F7506" w:rsidP="004F7506">
      <w:pPr>
        <w:pStyle w:val="ListParagraph"/>
        <w:jc w:val="center"/>
        <w:rPr>
          <w:rFonts w:eastAsiaTheme="minorEastAsia"/>
          <w:iCs/>
          <w:sz w:val="24"/>
          <w:szCs w:val="24"/>
        </w:rPr>
      </w:pPr>
      <m:oMath>
        <m:r>
          <w:rPr>
            <w:rFonts w:ascii="Cambria Math" w:eastAsiaTheme="minorEastAsia" w:hAnsi="Cambria Math"/>
            <w:sz w:val="24"/>
            <w:szCs w:val="24"/>
          </w:rPr>
          <m:t>d</m:t>
        </m:r>
        <m:sSub>
          <m:sSubPr>
            <m:ctrlPr>
              <w:rPr>
                <w:rFonts w:ascii="Cambria Math" w:eastAsiaTheme="minorEastAsia" w:hAnsi="Cambria Math"/>
                <w:i/>
                <w:iCs/>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ma</m:t>
            </m:r>
          </m:sub>
        </m:sSub>
        <m:r>
          <w:rPr>
            <w:rFonts w:ascii="Cambria Math" w:eastAsiaTheme="minorEastAsia" w:hAnsi="Cambria Math"/>
            <w:sz w:val="24"/>
            <w:szCs w:val="24"/>
          </w:rPr>
          <m:t>=220</m:t>
        </m:r>
        <m:f>
          <m:fPr>
            <m:ctrlPr>
              <w:rPr>
                <w:rFonts w:ascii="Cambria Math" w:eastAsiaTheme="minorEastAsia" w:hAnsi="Cambria Math"/>
                <w:i/>
                <w:iCs/>
                <w:sz w:val="24"/>
                <w:szCs w:val="24"/>
              </w:rPr>
            </m:ctrlPr>
          </m:fPr>
          <m:num>
            <m:r>
              <w:rPr>
                <w:rFonts w:ascii="Cambria Math" w:eastAsiaTheme="minorEastAsia" w:hAnsi="Cambria Math"/>
                <w:sz w:val="24"/>
                <w:szCs w:val="24"/>
              </w:rPr>
              <m:t>μsec</m:t>
            </m:r>
          </m:num>
          <m:den>
            <m:r>
              <w:rPr>
                <w:rFonts w:ascii="Cambria Math" w:eastAsiaTheme="minorEastAsia" w:hAnsi="Cambria Math"/>
                <w:sz w:val="24"/>
                <w:szCs w:val="24"/>
              </w:rPr>
              <m:t>m</m:t>
            </m:r>
          </m:den>
        </m:f>
      </m:oMath>
      <w:r w:rsidRPr="00B05095">
        <w:rPr>
          <w:rFonts w:eastAsiaTheme="minorEastAsia"/>
          <w:iCs/>
          <w:sz w:val="24"/>
          <w:szCs w:val="24"/>
        </w:rPr>
        <w:tab/>
        <w:t xml:space="preserve"> </w:t>
      </w:r>
      <w:r>
        <w:rPr>
          <w:rFonts w:eastAsiaTheme="minorEastAsia"/>
          <w:iCs/>
          <w:sz w:val="24"/>
          <w:szCs w:val="24"/>
        </w:rPr>
        <w:t>Eq. 2</w:t>
      </w:r>
    </w:p>
    <w:p w14:paraId="7257D8D5" w14:textId="77777777" w:rsidR="004F7506" w:rsidRPr="00B05095" w:rsidRDefault="004F7506" w:rsidP="004F7506">
      <w:pPr>
        <w:pStyle w:val="ListParagraph"/>
        <w:jc w:val="center"/>
        <w:rPr>
          <w:rFonts w:eastAsiaTheme="minorEastAsia"/>
          <w:sz w:val="24"/>
          <w:szCs w:val="24"/>
        </w:rPr>
      </w:pPr>
      <m:oMath>
        <m:r>
          <w:rPr>
            <w:rFonts w:ascii="Cambria Math" w:eastAsiaTheme="minorEastAsia" w:hAnsi="Cambria Math"/>
            <w:sz w:val="24"/>
            <w:szCs w:val="24"/>
          </w:rPr>
          <m:t>f=2.19</m:t>
        </m:r>
      </m:oMath>
      <w:r w:rsidRPr="00B05095">
        <w:rPr>
          <w:rFonts w:eastAsiaTheme="minorEastAsia"/>
          <w:iCs/>
          <w:sz w:val="24"/>
          <w:szCs w:val="24"/>
        </w:rPr>
        <w:tab/>
      </w:r>
      <w:r w:rsidRPr="00B05095">
        <w:rPr>
          <w:rFonts w:eastAsiaTheme="minorEastAsia"/>
          <w:iCs/>
          <w:sz w:val="24"/>
          <w:szCs w:val="24"/>
        </w:rPr>
        <w:tab/>
        <w:t xml:space="preserve"> </w:t>
      </w:r>
      <w:r>
        <w:rPr>
          <w:rFonts w:eastAsiaTheme="minorEastAsia"/>
          <w:iCs/>
          <w:sz w:val="24"/>
          <w:szCs w:val="24"/>
        </w:rPr>
        <w:t>Eq. 3</w:t>
      </w:r>
    </w:p>
    <w:p w14:paraId="2F264B28" w14:textId="77777777" w:rsidR="004F7506" w:rsidRPr="00B05095" w:rsidRDefault="004F7506" w:rsidP="004F7506">
      <w:pPr>
        <w:pStyle w:val="ListParagraph"/>
        <w:rPr>
          <w:rFonts w:eastAsiaTheme="minorEastAsia"/>
          <w:sz w:val="24"/>
          <w:szCs w:val="24"/>
        </w:rPr>
      </w:pPr>
    </w:p>
    <w:p w14:paraId="6B1E0709" w14:textId="77777777" w:rsidR="004F7506" w:rsidRPr="00F442F0" w:rsidRDefault="004F7506" w:rsidP="004F7506">
      <w:pPr>
        <w:rPr>
          <w:rFonts w:eastAsiaTheme="minorEastAsia"/>
          <w:sz w:val="24"/>
          <w:szCs w:val="24"/>
        </w:rPr>
      </w:pPr>
      <w:r w:rsidRPr="00F442F0">
        <w:rPr>
          <w:rFonts w:eastAsiaTheme="minorEastAsia"/>
          <w:sz w:val="24"/>
          <w:szCs w:val="24"/>
        </w:rPr>
        <w:t>Hubbert’s compression relationship is as follows:</w:t>
      </w:r>
    </w:p>
    <w:p w14:paraId="7A00C560" w14:textId="77777777" w:rsidR="004F7506" w:rsidRPr="00B05095" w:rsidRDefault="00C46B16" w:rsidP="004F7506">
      <w:pPr>
        <w:pStyle w:val="ListParagraph"/>
        <w:jc w:val="center"/>
        <w:rPr>
          <w:rFonts w:eastAsia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v</m:t>
            </m:r>
          </m:sub>
          <m:sup>
            <m:r>
              <w:rPr>
                <w:rFonts w:ascii="Cambria Math" w:eastAsiaTheme="minorEastAsia" w:hAnsi="Cambria Math"/>
                <w:sz w:val="24"/>
                <w:szCs w:val="24"/>
              </w:rPr>
              <m:t>'</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-u</m:t>
        </m:r>
      </m:oMath>
      <w:r w:rsidR="004F7506">
        <w:rPr>
          <w:rFonts w:eastAsiaTheme="minorEastAsia"/>
          <w:sz w:val="24"/>
          <w:szCs w:val="24"/>
        </w:rPr>
        <w:tab/>
      </w:r>
      <w:r w:rsidR="004F7506">
        <w:rPr>
          <w:rFonts w:eastAsiaTheme="minorEastAsia"/>
          <w:sz w:val="24"/>
          <w:szCs w:val="24"/>
        </w:rPr>
        <w:tab/>
        <w:t>Eq. 4</w:t>
      </w:r>
    </w:p>
    <w:p w14:paraId="0AA0DD4D" w14:textId="77777777" w:rsidR="004F7506" w:rsidRPr="00B05095" w:rsidRDefault="004F7506" w:rsidP="004F7506">
      <w:pPr>
        <w:pStyle w:val="ListParagraph"/>
        <w:jc w:val="center"/>
        <w:rPr>
          <w:rFonts w:eastAsiaTheme="minorEastAsia"/>
          <w:sz w:val="24"/>
          <w:szCs w:val="24"/>
        </w:rPr>
      </w:pPr>
      <m:oMath>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oMath>
      <w:r>
        <w:rPr>
          <w:rFonts w:eastAsiaTheme="minorEastAsia"/>
          <w:sz w:val="24"/>
          <w:szCs w:val="24"/>
        </w:rPr>
        <w:tab/>
      </w:r>
      <w:r>
        <w:rPr>
          <w:rFonts w:eastAsiaTheme="minorEastAsia"/>
          <w:sz w:val="24"/>
          <w:szCs w:val="24"/>
        </w:rPr>
        <w:tab/>
        <w:t>Eq. 5</w:t>
      </w:r>
    </w:p>
    <w:p w14:paraId="58569C54" w14:textId="77777777" w:rsidR="004F7506" w:rsidRPr="00B05095" w:rsidRDefault="004F7506" w:rsidP="004F7506">
      <w:pPr>
        <w:pStyle w:val="ListParagraph"/>
        <w:jc w:val="center"/>
        <w:rPr>
          <w:rFonts w:eastAsiaTheme="minorEastAsia"/>
          <w:sz w:val="24"/>
          <w:szCs w:val="24"/>
        </w:rPr>
      </w:pPr>
      <m:oMath>
        <m:r>
          <w:rPr>
            <w:rFonts w:ascii="Cambria Math" w:eastAsiaTheme="minorEastAsia" w:hAnsi="Cambria Math"/>
            <w:sz w:val="24"/>
            <w:szCs w:val="24"/>
          </w:rPr>
          <m:t>n=</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-β</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up>
        </m:sSup>
      </m:oMath>
      <w:r w:rsidRPr="00B05095">
        <w:rPr>
          <w:rFonts w:eastAsiaTheme="minorEastAsia"/>
          <w:sz w:val="24"/>
          <w:szCs w:val="24"/>
        </w:rPr>
        <w:tab/>
      </w:r>
      <w:r w:rsidRPr="00B05095">
        <w:rPr>
          <w:rFonts w:eastAsiaTheme="minorEastAsia"/>
          <w:sz w:val="24"/>
          <w:szCs w:val="24"/>
        </w:rPr>
        <w:tab/>
        <w:t xml:space="preserve">  </w:t>
      </w:r>
      <w:r>
        <w:rPr>
          <w:rFonts w:eastAsiaTheme="minorEastAsia"/>
          <w:sz w:val="24"/>
          <w:szCs w:val="24"/>
        </w:rPr>
        <w:t>Eq. 6</w:t>
      </w:r>
    </w:p>
    <w:p w14:paraId="0DB815B0" w14:textId="77777777" w:rsidR="004F7506" w:rsidRPr="00B05095" w:rsidRDefault="004F7506" w:rsidP="004F7506">
      <w:pPr>
        <w:pStyle w:val="ListParagraph"/>
        <w:jc w:val="center"/>
        <w:rPr>
          <w:rFonts w:eastAsiaTheme="minorEastAsia"/>
          <w:sz w:val="24"/>
          <w:szCs w:val="24"/>
        </w:rPr>
      </w:pPr>
      <m:oMath>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β</m:t>
            </m:r>
          </m:den>
        </m:f>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o</m:t>
                        </m:r>
                      </m:sub>
                    </m:sSub>
                  </m:num>
                  <m:den>
                    <m:r>
                      <w:rPr>
                        <w:rFonts w:ascii="Cambria Math" w:eastAsiaTheme="minorEastAsia" w:hAnsi="Cambria Math"/>
                        <w:sz w:val="24"/>
                        <w:szCs w:val="24"/>
                      </w:rPr>
                      <m:t>n</m:t>
                    </m:r>
                  </m:den>
                </m:f>
              </m:e>
            </m:d>
          </m:e>
        </m:func>
      </m:oMath>
      <w:r w:rsidRPr="00B05095">
        <w:rPr>
          <w:rFonts w:eastAsiaTheme="minorEastAsia"/>
          <w:sz w:val="24"/>
          <w:szCs w:val="24"/>
        </w:rPr>
        <w:tab/>
        <w:t xml:space="preserve">  </w:t>
      </w:r>
      <w:r>
        <w:rPr>
          <w:rFonts w:eastAsiaTheme="minorEastAsia"/>
          <w:sz w:val="24"/>
          <w:szCs w:val="24"/>
        </w:rPr>
        <w:t>Eq. 7</w:t>
      </w:r>
    </w:p>
    <w:p w14:paraId="6A24CC3D" w14:textId="77777777" w:rsidR="004F7506" w:rsidRPr="00B05095" w:rsidRDefault="004F7506" w:rsidP="004F7506">
      <w:pPr>
        <w:pStyle w:val="ListParagraph"/>
        <w:rPr>
          <w:rFonts w:eastAsiaTheme="minorEastAsia"/>
          <w:sz w:val="24"/>
          <w:szCs w:val="24"/>
        </w:rPr>
      </w:pPr>
    </w:p>
    <w:p w14:paraId="20BC2F0E" w14:textId="77777777" w:rsidR="004F7506" w:rsidRPr="00F442F0" w:rsidRDefault="004F7506" w:rsidP="004F7506">
      <w:pPr>
        <w:rPr>
          <w:rFonts w:eastAsiaTheme="minorEastAsia"/>
          <w:sz w:val="24"/>
          <w:szCs w:val="24"/>
        </w:rPr>
      </w:pPr>
      <w:r w:rsidRPr="00F442F0">
        <w:rPr>
          <w:rFonts w:eastAsiaTheme="minorEastAsia"/>
          <w:sz w:val="24"/>
          <w:szCs w:val="24"/>
        </w:rPr>
        <w:t xml:space="preserve">To calculate </w:t>
      </w:r>
      <w:r>
        <w:rPr>
          <w:rFonts w:eastAsiaTheme="minorEastAsia"/>
          <w:sz w:val="24"/>
          <w:szCs w:val="24"/>
        </w:rPr>
        <w:t>n</w:t>
      </w:r>
      <w:r w:rsidRPr="0011568E">
        <w:rPr>
          <w:rFonts w:eastAsiaTheme="minorEastAsia"/>
          <w:sz w:val="24"/>
          <w:szCs w:val="24"/>
          <w:vertAlign w:val="subscript"/>
        </w:rPr>
        <w:t>o</w:t>
      </w:r>
      <w:r>
        <w:rPr>
          <w:rFonts w:eastAsiaTheme="minorEastAsia"/>
          <w:sz w:val="24"/>
          <w:szCs w:val="24"/>
        </w:rPr>
        <w:t xml:space="preserve"> and </w:t>
      </w:r>
      <m:oMath>
        <m:r>
          <w:rPr>
            <w:rFonts w:ascii="Cambria Math" w:eastAsiaTheme="minorEastAsia" w:hAnsi="Cambria Math"/>
            <w:sz w:val="24"/>
            <w:szCs w:val="24"/>
          </w:rPr>
          <m:t>β</m:t>
        </m:r>
      </m:oMath>
      <w:r w:rsidRPr="00F442F0">
        <w:rPr>
          <w:rFonts w:eastAsiaTheme="minorEastAsia"/>
          <w:sz w:val="24"/>
          <w:szCs w:val="24"/>
        </w:rPr>
        <w:t>, we perform an exponential regression on a plot of hydr</w:t>
      </w:r>
      <w:proofErr w:type="spellStart"/>
      <w:r>
        <w:rPr>
          <w:rFonts w:eastAsiaTheme="minorEastAsia"/>
          <w:sz w:val="24"/>
          <w:szCs w:val="24"/>
        </w:rPr>
        <w:t>ostatic</w:t>
      </w:r>
      <w:proofErr w:type="spellEnd"/>
      <w:r>
        <w:rPr>
          <w:rFonts w:eastAsiaTheme="minorEastAsia"/>
          <w:sz w:val="24"/>
          <w:szCs w:val="24"/>
        </w:rPr>
        <w:t xml:space="preserve"> effective stress vs. </w:t>
      </w:r>
      <w:proofErr w:type="spellStart"/>
      <w:r>
        <w:rPr>
          <w:rFonts w:eastAsiaTheme="minorEastAsia"/>
          <w:sz w:val="24"/>
          <w:szCs w:val="24"/>
        </w:rPr>
        <w:t>n</w:t>
      </w:r>
      <w:r w:rsidRPr="00F442F0">
        <w:rPr>
          <w:rFonts w:eastAsiaTheme="minorEastAsia"/>
          <w:sz w:val="24"/>
          <w:szCs w:val="24"/>
        </w:rPr>
        <w:t>_dt</w:t>
      </w:r>
      <w:proofErr w:type="spellEnd"/>
      <w:r w:rsidRPr="00F442F0">
        <w:rPr>
          <w:rFonts w:eastAsiaTheme="minorEastAsia"/>
          <w:sz w:val="24"/>
          <w:szCs w:val="24"/>
        </w:rPr>
        <w:t xml:space="preserve"> (Fig</w:t>
      </w:r>
      <w:r>
        <w:rPr>
          <w:rFonts w:eastAsiaTheme="minorEastAsia"/>
          <w:sz w:val="24"/>
          <w:szCs w:val="24"/>
        </w:rPr>
        <w:t>ure 3</w:t>
      </w:r>
      <w:r w:rsidRPr="00F442F0">
        <w:rPr>
          <w:rFonts w:eastAsiaTheme="minorEastAsia"/>
          <w:sz w:val="24"/>
          <w:szCs w:val="24"/>
        </w:rPr>
        <w:t xml:space="preserve">) </w:t>
      </w:r>
    </w:p>
    <w:p w14:paraId="6E65FF54" w14:textId="77777777" w:rsidR="001C56D9" w:rsidRPr="001B1838" w:rsidRDefault="001C56D9" w:rsidP="00E77F10">
      <w:pPr>
        <w:pStyle w:val="ListParagraph"/>
        <w:rPr>
          <w:rFonts w:eastAsiaTheme="minorEastAsia"/>
          <w:sz w:val="24"/>
          <w:szCs w:val="24"/>
        </w:rPr>
      </w:pPr>
    </w:p>
    <w:p w14:paraId="5A013226" w14:textId="77777777" w:rsidR="00917C08" w:rsidRPr="001B1838" w:rsidRDefault="00E77F10" w:rsidP="00917C08">
      <w:pPr>
        <w:pStyle w:val="ListParagraph"/>
        <w:spacing w:after="0"/>
        <w:rPr>
          <w:rFonts w:eastAsiaTheme="minorEastAsia"/>
          <w:i/>
          <w:sz w:val="24"/>
          <w:szCs w:val="24"/>
        </w:rPr>
      </w:pPr>
      <w:r w:rsidRPr="001B1838">
        <w:rPr>
          <w:noProof/>
          <w:sz w:val="24"/>
          <w:szCs w:val="24"/>
        </w:rPr>
        <w:drawing>
          <wp:inline distT="0" distB="0" distL="0" distR="0" wp14:anchorId="66A05158" wp14:editId="2F5D875E">
            <wp:extent cx="4595192" cy="2743200"/>
            <wp:effectExtent l="0" t="0" r="1524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EDC6B9" w14:textId="36183777" w:rsidR="00917C08" w:rsidRPr="001B1838" w:rsidRDefault="004F7506" w:rsidP="00917C08">
      <w:pPr>
        <w:ind w:left="720" w:right="90"/>
        <w:rPr>
          <w:rFonts w:eastAsiaTheme="minorEastAsia"/>
          <w:i/>
          <w:sz w:val="24"/>
          <w:szCs w:val="24"/>
        </w:rPr>
      </w:pPr>
      <w:r>
        <w:rPr>
          <w:rFonts w:eastAsiaTheme="minorEastAsia"/>
          <w:i/>
          <w:sz w:val="24"/>
          <w:szCs w:val="24"/>
        </w:rPr>
        <w:t>Fig 3.</w:t>
      </w:r>
      <w:r w:rsidR="009B7132" w:rsidRPr="001B1838">
        <w:rPr>
          <w:rFonts w:eastAsiaTheme="minorEastAsia"/>
          <w:i/>
          <w:sz w:val="24"/>
          <w:szCs w:val="24"/>
        </w:rPr>
        <w:t xml:space="preserve"> Plot of hydrostatic effective stress (</w:t>
      </w:r>
      <w:r w:rsidR="009B7132" w:rsidRPr="001B1838">
        <w:rPr>
          <w:rFonts w:ascii="Symbol" w:eastAsiaTheme="minorEastAsia" w:hAnsi="Symbol"/>
          <w:i/>
          <w:sz w:val="24"/>
          <w:szCs w:val="24"/>
        </w:rPr>
        <w:t></w:t>
      </w:r>
      <w:proofErr w:type="spellStart"/>
      <w:r w:rsidR="009B7132" w:rsidRPr="001B1838">
        <w:rPr>
          <w:rFonts w:eastAsiaTheme="minorEastAsia"/>
          <w:i/>
          <w:sz w:val="24"/>
          <w:szCs w:val="24"/>
          <w:vertAlign w:val="subscript"/>
        </w:rPr>
        <w:t>vh</w:t>
      </w:r>
      <w:proofErr w:type="spellEnd"/>
      <w:r w:rsidR="009B7132" w:rsidRPr="001B1838">
        <w:rPr>
          <w:rFonts w:eastAsiaTheme="minorEastAsia"/>
          <w:i/>
          <w:sz w:val="24"/>
          <w:szCs w:val="24"/>
        </w:rPr>
        <w:t>’) vs. porosity</w:t>
      </w:r>
      <w:r w:rsidR="001B1838">
        <w:rPr>
          <w:rFonts w:eastAsiaTheme="minorEastAsia"/>
          <w:i/>
          <w:sz w:val="24"/>
          <w:szCs w:val="24"/>
        </w:rPr>
        <w:t xml:space="preserve"> </w:t>
      </w:r>
      <w:r w:rsidR="009B7132" w:rsidRPr="001B1838">
        <w:rPr>
          <w:rFonts w:eastAsiaTheme="minorEastAsia"/>
          <w:i/>
          <w:sz w:val="24"/>
          <w:szCs w:val="24"/>
        </w:rPr>
        <w:t xml:space="preserve">(n) </w:t>
      </w:r>
      <w:r>
        <w:rPr>
          <w:rFonts w:eastAsiaTheme="minorEastAsia"/>
          <w:i/>
          <w:sz w:val="24"/>
          <w:szCs w:val="24"/>
        </w:rPr>
        <w:t>calculated from sonic log (Eq. 1</w:t>
      </w:r>
      <w:r w:rsidR="009B7132" w:rsidRPr="001B1838">
        <w:rPr>
          <w:rFonts w:eastAsiaTheme="minorEastAsia"/>
          <w:i/>
          <w:sz w:val="24"/>
          <w:szCs w:val="24"/>
        </w:rPr>
        <w:t>). Exponential regress</w:t>
      </w:r>
      <w:r>
        <w:rPr>
          <w:rFonts w:eastAsiaTheme="minorEastAsia"/>
          <w:i/>
          <w:sz w:val="24"/>
          <w:szCs w:val="24"/>
        </w:rPr>
        <w:t xml:space="preserve">ion </w:t>
      </w:r>
      <w:proofErr w:type="spellStart"/>
      <w:r>
        <w:rPr>
          <w:rFonts w:eastAsiaTheme="minorEastAsia"/>
          <w:i/>
          <w:sz w:val="24"/>
          <w:szCs w:val="24"/>
        </w:rPr>
        <w:t>paramaters</w:t>
      </w:r>
      <w:proofErr w:type="spellEnd"/>
      <w:r>
        <w:rPr>
          <w:rFonts w:eastAsiaTheme="minorEastAsia"/>
          <w:i/>
          <w:sz w:val="24"/>
          <w:szCs w:val="24"/>
        </w:rPr>
        <w:t xml:space="preserve"> are shown (Eq. 6</w:t>
      </w:r>
      <w:r w:rsidR="009B7132" w:rsidRPr="001B1838">
        <w:rPr>
          <w:rFonts w:eastAsiaTheme="minorEastAsia"/>
          <w:i/>
          <w:sz w:val="24"/>
          <w:szCs w:val="24"/>
        </w:rPr>
        <w:t>).</w:t>
      </w:r>
      <w:r w:rsidR="00C46B16">
        <w:rPr>
          <w:rFonts w:eastAsiaTheme="minorEastAsia"/>
          <w:i/>
          <w:sz w:val="24"/>
          <w:szCs w:val="24"/>
        </w:rPr>
        <w:t xml:space="preserve"> See Figure 5.11 </w:t>
      </w:r>
      <w:r w:rsidR="00C46B16" w:rsidRPr="00C46B16">
        <w:rPr>
          <w:rFonts w:eastAsiaTheme="minorEastAsia"/>
          <w:i/>
          <w:sz w:val="24"/>
          <w:szCs w:val="24"/>
        </w:rPr>
        <w:t>{Flemings, 2021 #4105}</w:t>
      </w:r>
      <w:r w:rsidR="00C46B16">
        <w:rPr>
          <w:rFonts w:eastAsiaTheme="minorEastAsia"/>
          <w:i/>
          <w:sz w:val="24"/>
          <w:szCs w:val="24"/>
        </w:rPr>
        <w:t>.</w:t>
      </w:r>
    </w:p>
    <w:p w14:paraId="0EEDAF21" w14:textId="77777777" w:rsidR="00750A82" w:rsidRPr="001B1838" w:rsidRDefault="00750A82">
      <w:pPr>
        <w:rPr>
          <w:rFonts w:eastAsiaTheme="minorEastAsia"/>
          <w:sz w:val="24"/>
          <w:szCs w:val="24"/>
        </w:rPr>
      </w:pPr>
      <w:r w:rsidRPr="001B1838">
        <w:rPr>
          <w:rFonts w:eastAsiaTheme="minorEastAsia"/>
          <w:sz w:val="24"/>
          <w:szCs w:val="24"/>
        </w:rPr>
        <w:br w:type="page"/>
      </w:r>
    </w:p>
    <w:p w14:paraId="4F644BA5" w14:textId="77777777" w:rsidR="006668EB" w:rsidRPr="001B1838" w:rsidRDefault="006668EB" w:rsidP="006668EB">
      <w:pPr>
        <w:rPr>
          <w:rFonts w:eastAsiaTheme="minorEastAsia"/>
          <w:sz w:val="24"/>
          <w:szCs w:val="24"/>
        </w:rPr>
      </w:pPr>
      <w:r w:rsidRPr="001B1838">
        <w:rPr>
          <w:rFonts w:eastAsiaTheme="minorEastAsia"/>
          <w:b/>
          <w:sz w:val="24"/>
          <w:szCs w:val="24"/>
        </w:rPr>
        <w:lastRenderedPageBreak/>
        <w:t>Table 2: interpreted Hubbert parameters.</w:t>
      </w:r>
      <w:r w:rsidRPr="001B1838">
        <w:rPr>
          <w:rFonts w:eastAsiaTheme="minorEastAsia"/>
          <w:sz w:val="24"/>
          <w:szCs w:val="24"/>
        </w:rPr>
        <w:t xml:space="preserve"> </w:t>
      </w:r>
    </w:p>
    <w:tbl>
      <w:tblPr>
        <w:tblStyle w:val="TableGrid"/>
        <w:tblW w:w="8140" w:type="dxa"/>
        <w:tblLook w:val="04A0" w:firstRow="1" w:lastRow="0" w:firstColumn="1" w:lastColumn="0" w:noHBand="0" w:noVBand="1"/>
      </w:tblPr>
      <w:tblGrid>
        <w:gridCol w:w="3133"/>
        <w:gridCol w:w="2066"/>
        <w:gridCol w:w="1203"/>
        <w:gridCol w:w="1738"/>
      </w:tblGrid>
      <w:tr w:rsidR="00C94982" w:rsidRPr="001B1838" w14:paraId="74C08738" w14:textId="77777777" w:rsidTr="00C94982">
        <w:trPr>
          <w:trHeight w:val="560"/>
        </w:trPr>
        <w:tc>
          <w:tcPr>
            <w:tcW w:w="3133" w:type="dxa"/>
          </w:tcPr>
          <w:p w14:paraId="55B6DDCB" w14:textId="77777777" w:rsidR="00C94982" w:rsidRPr="001B1838" w:rsidRDefault="00C94982" w:rsidP="009E1F7B">
            <w:pPr>
              <w:rPr>
                <w:rFonts w:eastAsiaTheme="minorEastAsia"/>
                <w:b/>
                <w:sz w:val="24"/>
                <w:szCs w:val="24"/>
              </w:rPr>
            </w:pPr>
            <w:r w:rsidRPr="001B1838">
              <w:rPr>
                <w:rFonts w:eastAsiaTheme="minorEastAsia"/>
                <w:b/>
                <w:sz w:val="24"/>
                <w:szCs w:val="24"/>
              </w:rPr>
              <w:t>Depth (ft.) interval of regression</w:t>
            </w:r>
          </w:p>
        </w:tc>
        <w:tc>
          <w:tcPr>
            <w:tcW w:w="2066" w:type="dxa"/>
          </w:tcPr>
          <w:p w14:paraId="6367A151" w14:textId="77777777" w:rsidR="00C94982" w:rsidRPr="001B1838" w:rsidRDefault="00C94982" w:rsidP="00C94982">
            <w:pPr>
              <w:rPr>
                <w:rFonts w:eastAsiaTheme="minorEastAsia"/>
                <w:b/>
                <w:sz w:val="24"/>
                <w:szCs w:val="24"/>
              </w:rPr>
            </w:pPr>
            <w:r w:rsidRPr="001B1838">
              <w:rPr>
                <w:rFonts w:eastAsiaTheme="minorEastAsia"/>
                <w:b/>
                <w:sz w:val="24"/>
                <w:szCs w:val="24"/>
              </w:rPr>
              <w:t>Excel Row Interval</w:t>
            </w:r>
          </w:p>
        </w:tc>
        <w:tc>
          <w:tcPr>
            <w:tcW w:w="1203" w:type="dxa"/>
          </w:tcPr>
          <w:p w14:paraId="19A481D6" w14:textId="77777777" w:rsidR="00C94982" w:rsidRPr="001B1838" w:rsidRDefault="00C94982" w:rsidP="00E003AA">
            <w:pPr>
              <w:rPr>
                <w:rFonts w:eastAsiaTheme="minorEastAsia"/>
                <w:b/>
                <w:sz w:val="24"/>
                <w:szCs w:val="24"/>
              </w:rPr>
            </w:pPr>
            <w:r w:rsidRPr="001B1838">
              <w:rPr>
                <w:rFonts w:eastAsiaTheme="minorEastAsia"/>
                <w:b/>
                <w:sz w:val="24"/>
                <w:szCs w:val="24"/>
              </w:rPr>
              <w:t>n</w:t>
            </w:r>
            <w:r w:rsidRPr="001B1838">
              <w:rPr>
                <w:rFonts w:eastAsiaTheme="minorEastAsia"/>
                <w:b/>
                <w:sz w:val="24"/>
                <w:szCs w:val="24"/>
                <w:vertAlign w:val="subscript"/>
              </w:rPr>
              <w:t>0</w:t>
            </w:r>
          </w:p>
        </w:tc>
        <w:tc>
          <w:tcPr>
            <w:tcW w:w="1738" w:type="dxa"/>
          </w:tcPr>
          <w:p w14:paraId="5715A750" w14:textId="77777777" w:rsidR="00C94982" w:rsidRPr="004F7506" w:rsidRDefault="00C94982" w:rsidP="00E003AA">
            <w:pPr>
              <w:rPr>
                <w:rStyle w:val="Emphasis"/>
              </w:rPr>
            </w:pPr>
            <w:r w:rsidRPr="001B1838">
              <w:rPr>
                <w:rFonts w:ascii="Symbol" w:eastAsiaTheme="minorEastAsia" w:hAnsi="Symbol"/>
                <w:b/>
                <w:sz w:val="24"/>
                <w:szCs w:val="24"/>
              </w:rPr>
              <w:t></w:t>
            </w:r>
            <w:r w:rsidR="004F7506">
              <w:rPr>
                <w:rFonts w:ascii="Symbol" w:eastAsiaTheme="minorEastAsia" w:hAnsi="Symbol"/>
                <w:b/>
                <w:sz w:val="24"/>
                <w:szCs w:val="24"/>
              </w:rPr>
              <w:t></w:t>
            </w:r>
            <w:r w:rsidR="004F7506">
              <w:rPr>
                <w:rFonts w:ascii="Symbol" w:eastAsiaTheme="minorEastAsia" w:hAnsi="Symbol"/>
                <w:b/>
                <w:sz w:val="24"/>
                <w:szCs w:val="24"/>
              </w:rPr>
              <w:t></w:t>
            </w:r>
            <w:r w:rsidR="004F7506">
              <w:rPr>
                <w:rStyle w:val="Emphasis"/>
              </w:rPr>
              <w:t>PSI</w:t>
            </w:r>
            <w:r w:rsidR="004F7506" w:rsidRPr="004F7506">
              <w:rPr>
                <w:rStyle w:val="Emphasis"/>
                <w:vertAlign w:val="superscript"/>
              </w:rPr>
              <w:t>-1</w:t>
            </w:r>
            <w:r w:rsidR="004F7506">
              <w:rPr>
                <w:rStyle w:val="Emphasis"/>
              </w:rPr>
              <w:t>)</w:t>
            </w:r>
          </w:p>
        </w:tc>
      </w:tr>
      <w:tr w:rsidR="007C4DB2" w:rsidRPr="001B1838" w14:paraId="5CA4BA6B" w14:textId="77777777" w:rsidTr="00C94982">
        <w:trPr>
          <w:trHeight w:val="435"/>
        </w:trPr>
        <w:tc>
          <w:tcPr>
            <w:tcW w:w="3133" w:type="dxa"/>
            <w:vAlign w:val="center"/>
          </w:tcPr>
          <w:p w14:paraId="19106369" w14:textId="77777777" w:rsidR="007C4DB2" w:rsidRPr="00B05095" w:rsidRDefault="007C4DB2" w:rsidP="007C4DB2">
            <w:pPr>
              <w:rPr>
                <w:rFonts w:eastAsiaTheme="minorEastAsia"/>
                <w:b/>
                <w:sz w:val="24"/>
                <w:szCs w:val="24"/>
              </w:rPr>
            </w:pPr>
            <w:r w:rsidRPr="00B05095">
              <w:rPr>
                <w:rFonts w:eastAsiaTheme="minorEastAsia"/>
                <w:b/>
                <w:sz w:val="24"/>
                <w:szCs w:val="24"/>
              </w:rPr>
              <w:t>0-3000</w:t>
            </w:r>
          </w:p>
        </w:tc>
        <w:tc>
          <w:tcPr>
            <w:tcW w:w="2066" w:type="dxa"/>
            <w:vAlign w:val="center"/>
          </w:tcPr>
          <w:p w14:paraId="24C2748F" w14:textId="77777777" w:rsidR="007C4DB2" w:rsidRPr="00B05095" w:rsidRDefault="007C4DB2" w:rsidP="007C4DB2">
            <w:pPr>
              <w:rPr>
                <w:rFonts w:eastAsiaTheme="minorEastAsia"/>
                <w:b/>
                <w:sz w:val="24"/>
                <w:szCs w:val="24"/>
              </w:rPr>
            </w:pPr>
            <w:r w:rsidRPr="00B05095">
              <w:rPr>
                <w:rFonts w:eastAsiaTheme="minorEastAsia"/>
                <w:b/>
                <w:sz w:val="24"/>
                <w:szCs w:val="24"/>
              </w:rPr>
              <w:t>3-31</w:t>
            </w:r>
          </w:p>
        </w:tc>
        <w:tc>
          <w:tcPr>
            <w:tcW w:w="1203" w:type="dxa"/>
            <w:vAlign w:val="center"/>
          </w:tcPr>
          <w:p w14:paraId="52FE5B61" w14:textId="77777777" w:rsidR="007C4DB2" w:rsidRPr="001B1838" w:rsidRDefault="007C4DB2" w:rsidP="007C4DB2">
            <w:pPr>
              <w:rPr>
                <w:rFonts w:eastAsiaTheme="minorEastAsia"/>
                <w:sz w:val="24"/>
                <w:szCs w:val="24"/>
              </w:rPr>
            </w:pPr>
            <w:r w:rsidRPr="001B1838">
              <w:rPr>
                <w:rFonts w:eastAsiaTheme="minorEastAsia"/>
                <w:sz w:val="24"/>
                <w:szCs w:val="24"/>
              </w:rPr>
              <w:t>0.39</w:t>
            </w:r>
          </w:p>
        </w:tc>
        <w:tc>
          <w:tcPr>
            <w:tcW w:w="1738" w:type="dxa"/>
            <w:vAlign w:val="center"/>
          </w:tcPr>
          <w:p w14:paraId="03047262" w14:textId="77777777" w:rsidR="007C4DB2" w:rsidRPr="001B1838" w:rsidRDefault="007C4DB2" w:rsidP="007C4DB2">
            <w:pPr>
              <w:rPr>
                <w:rFonts w:eastAsiaTheme="minorEastAsia"/>
                <w:sz w:val="24"/>
                <w:szCs w:val="24"/>
              </w:rPr>
            </w:pPr>
            <w:r w:rsidRPr="001B1838">
              <w:rPr>
                <w:rFonts w:eastAsiaTheme="minorEastAsia"/>
                <w:sz w:val="24"/>
                <w:szCs w:val="24"/>
              </w:rPr>
              <w:t>2.24e-4</w:t>
            </w:r>
          </w:p>
        </w:tc>
      </w:tr>
      <w:tr w:rsidR="007C4DB2" w:rsidRPr="001B1838" w14:paraId="292D9B11" w14:textId="77777777" w:rsidTr="00C94982">
        <w:trPr>
          <w:trHeight w:val="473"/>
        </w:trPr>
        <w:tc>
          <w:tcPr>
            <w:tcW w:w="3133" w:type="dxa"/>
            <w:vAlign w:val="center"/>
          </w:tcPr>
          <w:p w14:paraId="36908A25" w14:textId="77777777" w:rsidR="007C4DB2" w:rsidRPr="00B05095" w:rsidRDefault="007C4DB2" w:rsidP="007C4DB2">
            <w:pPr>
              <w:rPr>
                <w:rFonts w:eastAsiaTheme="minorEastAsia"/>
                <w:b/>
                <w:sz w:val="24"/>
                <w:szCs w:val="24"/>
              </w:rPr>
            </w:pPr>
            <w:r>
              <w:rPr>
                <w:rFonts w:eastAsiaTheme="minorEastAsia"/>
                <w:b/>
                <w:sz w:val="24"/>
                <w:szCs w:val="24"/>
              </w:rPr>
              <w:t>0-5300</w:t>
            </w:r>
          </w:p>
        </w:tc>
        <w:tc>
          <w:tcPr>
            <w:tcW w:w="2066" w:type="dxa"/>
            <w:vAlign w:val="center"/>
          </w:tcPr>
          <w:p w14:paraId="62106DCE" w14:textId="77777777" w:rsidR="007C4DB2" w:rsidRPr="00B05095" w:rsidRDefault="007C4DB2" w:rsidP="007C4DB2">
            <w:pPr>
              <w:rPr>
                <w:rFonts w:eastAsiaTheme="minorEastAsia"/>
                <w:b/>
                <w:sz w:val="24"/>
                <w:szCs w:val="24"/>
              </w:rPr>
            </w:pPr>
            <w:r w:rsidRPr="00B05095">
              <w:rPr>
                <w:rFonts w:eastAsiaTheme="minorEastAsia"/>
                <w:b/>
                <w:sz w:val="24"/>
                <w:szCs w:val="24"/>
              </w:rPr>
              <w:t>3-38</w:t>
            </w:r>
          </w:p>
        </w:tc>
        <w:tc>
          <w:tcPr>
            <w:tcW w:w="1203" w:type="dxa"/>
            <w:vAlign w:val="center"/>
          </w:tcPr>
          <w:p w14:paraId="2B5152CD" w14:textId="77777777" w:rsidR="007C4DB2" w:rsidRPr="001B1838" w:rsidRDefault="007C4DB2" w:rsidP="007C4DB2">
            <w:pPr>
              <w:rPr>
                <w:rFonts w:eastAsiaTheme="minorEastAsia"/>
                <w:sz w:val="24"/>
                <w:szCs w:val="24"/>
              </w:rPr>
            </w:pPr>
            <w:r>
              <w:rPr>
                <w:rFonts w:eastAsiaTheme="minorEastAsia"/>
                <w:sz w:val="24"/>
                <w:szCs w:val="24"/>
              </w:rPr>
              <w:t>0.39</w:t>
            </w:r>
          </w:p>
        </w:tc>
        <w:tc>
          <w:tcPr>
            <w:tcW w:w="1738" w:type="dxa"/>
            <w:vAlign w:val="center"/>
          </w:tcPr>
          <w:p w14:paraId="69E24994" w14:textId="77777777" w:rsidR="007C4DB2" w:rsidRPr="001B1838" w:rsidRDefault="007C4DB2" w:rsidP="007C4DB2">
            <w:pPr>
              <w:rPr>
                <w:rFonts w:eastAsiaTheme="minorEastAsia"/>
                <w:sz w:val="24"/>
                <w:szCs w:val="24"/>
              </w:rPr>
            </w:pPr>
            <w:r>
              <w:rPr>
                <w:rFonts w:eastAsiaTheme="minorEastAsia"/>
                <w:sz w:val="24"/>
                <w:szCs w:val="24"/>
              </w:rPr>
              <w:t>1.24</w:t>
            </w:r>
            <w:r w:rsidRPr="001B1838">
              <w:rPr>
                <w:rFonts w:eastAsiaTheme="minorEastAsia"/>
                <w:sz w:val="24"/>
                <w:szCs w:val="24"/>
              </w:rPr>
              <w:t>e-4</w:t>
            </w:r>
          </w:p>
        </w:tc>
      </w:tr>
      <w:tr w:rsidR="007C4DB2" w:rsidRPr="001B1838" w14:paraId="713B6571" w14:textId="77777777" w:rsidTr="00C94982">
        <w:trPr>
          <w:trHeight w:val="464"/>
        </w:trPr>
        <w:tc>
          <w:tcPr>
            <w:tcW w:w="3133" w:type="dxa"/>
            <w:vAlign w:val="center"/>
          </w:tcPr>
          <w:p w14:paraId="55A2AF05" w14:textId="77777777" w:rsidR="007C4DB2" w:rsidRPr="00B05095" w:rsidRDefault="007C4DB2" w:rsidP="007C4DB2">
            <w:pPr>
              <w:rPr>
                <w:rFonts w:eastAsiaTheme="minorEastAsia"/>
                <w:b/>
                <w:sz w:val="24"/>
                <w:szCs w:val="24"/>
              </w:rPr>
            </w:pPr>
            <w:r>
              <w:rPr>
                <w:rFonts w:eastAsiaTheme="minorEastAsia"/>
                <w:b/>
                <w:sz w:val="24"/>
                <w:szCs w:val="24"/>
              </w:rPr>
              <w:t>1200</w:t>
            </w:r>
            <w:r w:rsidRPr="00B05095">
              <w:rPr>
                <w:rFonts w:eastAsiaTheme="minorEastAsia"/>
                <w:b/>
                <w:sz w:val="24"/>
                <w:szCs w:val="24"/>
              </w:rPr>
              <w:t>-</w:t>
            </w:r>
            <w:r>
              <w:rPr>
                <w:rFonts w:eastAsiaTheme="minorEastAsia"/>
                <w:b/>
                <w:sz w:val="24"/>
                <w:szCs w:val="24"/>
              </w:rPr>
              <w:t>43</w:t>
            </w:r>
            <w:r w:rsidRPr="00B05095">
              <w:rPr>
                <w:rFonts w:eastAsiaTheme="minorEastAsia"/>
                <w:b/>
                <w:sz w:val="24"/>
                <w:szCs w:val="24"/>
              </w:rPr>
              <w:t>00’</w:t>
            </w:r>
          </w:p>
        </w:tc>
        <w:tc>
          <w:tcPr>
            <w:tcW w:w="2066" w:type="dxa"/>
            <w:vAlign w:val="center"/>
          </w:tcPr>
          <w:p w14:paraId="5D213678" w14:textId="77777777" w:rsidR="007C4DB2" w:rsidRPr="00B05095" w:rsidRDefault="007C4DB2" w:rsidP="007C4DB2">
            <w:pPr>
              <w:rPr>
                <w:rFonts w:eastAsiaTheme="minorEastAsia"/>
                <w:b/>
                <w:sz w:val="24"/>
                <w:szCs w:val="24"/>
              </w:rPr>
            </w:pPr>
            <w:r w:rsidRPr="00B05095">
              <w:rPr>
                <w:rFonts w:eastAsiaTheme="minorEastAsia"/>
                <w:b/>
                <w:sz w:val="24"/>
                <w:szCs w:val="24"/>
              </w:rPr>
              <w:t>12-34</w:t>
            </w:r>
          </w:p>
        </w:tc>
        <w:tc>
          <w:tcPr>
            <w:tcW w:w="1203" w:type="dxa"/>
            <w:vAlign w:val="center"/>
          </w:tcPr>
          <w:p w14:paraId="5E3389C3" w14:textId="77777777" w:rsidR="007C4DB2" w:rsidRPr="001B1838" w:rsidRDefault="007C4DB2" w:rsidP="007C4DB2">
            <w:pPr>
              <w:rPr>
                <w:rFonts w:eastAsiaTheme="minorEastAsia"/>
                <w:sz w:val="24"/>
                <w:szCs w:val="24"/>
              </w:rPr>
            </w:pPr>
            <w:r>
              <w:rPr>
                <w:rFonts w:eastAsiaTheme="minorEastAsia"/>
                <w:sz w:val="24"/>
                <w:szCs w:val="24"/>
              </w:rPr>
              <w:t>0.38</w:t>
            </w:r>
          </w:p>
        </w:tc>
        <w:tc>
          <w:tcPr>
            <w:tcW w:w="1738" w:type="dxa"/>
            <w:vAlign w:val="center"/>
          </w:tcPr>
          <w:p w14:paraId="7A38D474" w14:textId="77777777" w:rsidR="007C4DB2" w:rsidRPr="001B1838" w:rsidRDefault="007C4DB2" w:rsidP="007C4DB2">
            <w:pPr>
              <w:rPr>
                <w:rFonts w:eastAsiaTheme="minorEastAsia"/>
                <w:sz w:val="24"/>
                <w:szCs w:val="24"/>
              </w:rPr>
            </w:pPr>
            <w:r>
              <w:rPr>
                <w:rFonts w:eastAsiaTheme="minorEastAsia"/>
                <w:sz w:val="24"/>
                <w:szCs w:val="24"/>
              </w:rPr>
              <w:t>2.13</w:t>
            </w:r>
            <w:r w:rsidRPr="001B1838">
              <w:rPr>
                <w:rFonts w:eastAsiaTheme="minorEastAsia"/>
                <w:sz w:val="24"/>
                <w:szCs w:val="24"/>
              </w:rPr>
              <w:t>e-4</w:t>
            </w:r>
          </w:p>
        </w:tc>
      </w:tr>
    </w:tbl>
    <w:p w14:paraId="0EAF9145" w14:textId="77777777" w:rsidR="006668EB" w:rsidRPr="001B1838" w:rsidRDefault="006668EB" w:rsidP="006668EB">
      <w:pPr>
        <w:rPr>
          <w:rFonts w:eastAsiaTheme="minorEastAsia"/>
          <w:sz w:val="24"/>
          <w:szCs w:val="24"/>
        </w:rPr>
      </w:pPr>
    </w:p>
    <w:p w14:paraId="0064C93B" w14:textId="77777777" w:rsidR="00D7343A" w:rsidRPr="001B1838" w:rsidRDefault="004F7506" w:rsidP="006668EB">
      <w:pPr>
        <w:rPr>
          <w:rFonts w:eastAsiaTheme="minorEastAsia"/>
          <w:sz w:val="24"/>
          <w:szCs w:val="24"/>
        </w:rPr>
      </w:pPr>
      <w:r>
        <w:rPr>
          <w:rFonts w:eastAsiaTheme="minorEastAsia"/>
          <w:noProof/>
          <w:sz w:val="24"/>
          <w:szCs w:val="24"/>
        </w:rPr>
        <w:drawing>
          <wp:inline distT="0" distB="0" distL="0" distR="0" wp14:anchorId="321EF84B" wp14:editId="6928123C">
            <wp:extent cx="4170045" cy="46208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0045" cy="4620895"/>
                    </a:xfrm>
                    <a:prstGeom prst="rect">
                      <a:avLst/>
                    </a:prstGeom>
                    <a:noFill/>
                  </pic:spPr>
                </pic:pic>
              </a:graphicData>
            </a:graphic>
          </wp:inline>
        </w:drawing>
      </w:r>
    </w:p>
    <w:p w14:paraId="358882A6" w14:textId="25D381AC" w:rsidR="004F7506" w:rsidRDefault="003D2227" w:rsidP="006668EB">
      <w:pPr>
        <w:rPr>
          <w:rFonts w:eastAsiaTheme="minorEastAsia"/>
          <w:sz w:val="24"/>
          <w:szCs w:val="24"/>
        </w:rPr>
      </w:pPr>
      <w:r>
        <w:rPr>
          <w:rFonts w:eastAsiaTheme="minorEastAsia"/>
          <w:b/>
          <w:sz w:val="24"/>
          <w:szCs w:val="24"/>
        </w:rPr>
        <w:t xml:space="preserve">Figure 4: </w:t>
      </w:r>
      <w:r w:rsidR="001B1838">
        <w:rPr>
          <w:rFonts w:eastAsiaTheme="minorEastAsia"/>
          <w:b/>
          <w:sz w:val="24"/>
          <w:szCs w:val="24"/>
        </w:rPr>
        <w:t>Example result</w:t>
      </w:r>
      <w:r>
        <w:rPr>
          <w:rFonts w:eastAsiaTheme="minorEastAsia"/>
          <w:b/>
          <w:sz w:val="24"/>
          <w:szCs w:val="24"/>
        </w:rPr>
        <w:t xml:space="preserve"> plotting the degree of overpressure from the normal compaction trend. Because the regression was down over an interval interpreted to be hydrostatic, the result should show hydrostatic pressures (see Figure 5.11 and 5.12 </w:t>
      </w:r>
      <w:r>
        <w:rPr>
          <w:rFonts w:eastAsiaTheme="minorEastAsia"/>
          <w:b/>
          <w:sz w:val="24"/>
          <w:szCs w:val="24"/>
        </w:rPr>
        <w:fldChar w:fldCharType="begin"/>
      </w:r>
      <w:r>
        <w:rPr>
          <w:rFonts w:eastAsiaTheme="minorEastAsia"/>
          <w:b/>
          <w:sz w:val="24"/>
          <w:szCs w:val="24"/>
        </w:rPr>
        <w:instrText xml:space="preserve"> ADDIN EN.CITE &lt;EndNote&gt;&lt;Cite&gt;&lt;Author&gt;Flemings&lt;/Author&gt;&lt;Year&gt;2021&lt;/Year&gt;&lt;RecNum&gt;4105&lt;/RecNum&gt;&lt;DisplayText&gt;(Flemings, 2021)&lt;/DisplayText&gt;&lt;record&gt;&lt;rec-number&gt;4105&lt;/rec-number&gt;&lt;foreign-keys&gt;&lt;key app="EN" db-id="dfx0w90px50esfe00fnpsws0rztwp5vp2wxx" timestamp="1607782311" guid="126cb659-2e16-444f-b623-991c72e72d1c"&gt;4105&lt;/key&gt;&lt;/foreign-keys&gt;&lt;ref-type name="Book"&gt;6&lt;/ref-type&gt;&lt;contributors&gt;&lt;authors&gt;&lt;author&gt;Flemings, P&lt;/author&gt;&lt;/authors&gt;&lt;/contributors&gt;&lt;titles&gt;&lt;title&gt;A Concise Guide to Geopressure: Origin, Prediction, and Applications&lt;/title&gt;&lt;/titles&gt;&lt;dates&gt;&lt;year&gt;2021&lt;/year&gt;&lt;/dates&gt;&lt;publisher&gt;Cambridge Press&lt;/publisher&gt;&lt;urls&gt;&lt;/urls&gt;&lt;/record&gt;&lt;/Cite&gt;&lt;/EndNote&gt;</w:instrText>
      </w:r>
      <w:r>
        <w:rPr>
          <w:rFonts w:eastAsiaTheme="minorEastAsia"/>
          <w:b/>
          <w:sz w:val="24"/>
          <w:szCs w:val="24"/>
        </w:rPr>
        <w:fldChar w:fldCharType="separate"/>
      </w:r>
      <w:r>
        <w:rPr>
          <w:rFonts w:eastAsiaTheme="minorEastAsia"/>
          <w:b/>
          <w:noProof/>
          <w:sz w:val="24"/>
          <w:szCs w:val="24"/>
        </w:rPr>
        <w:t>(Flemings, 2021)</w:t>
      </w:r>
      <w:r>
        <w:rPr>
          <w:rFonts w:eastAsiaTheme="minorEastAsia"/>
          <w:b/>
          <w:sz w:val="24"/>
          <w:szCs w:val="24"/>
        </w:rPr>
        <w:fldChar w:fldCharType="end"/>
      </w:r>
      <w:r>
        <w:rPr>
          <w:rFonts w:eastAsiaTheme="minorEastAsia"/>
          <w:b/>
          <w:sz w:val="24"/>
          <w:szCs w:val="24"/>
        </w:rPr>
        <w:t xml:space="preserve">) </w:t>
      </w:r>
    </w:p>
    <w:p w14:paraId="5108E635" w14:textId="77777777" w:rsidR="004F7506" w:rsidRDefault="004F7506">
      <w:pPr>
        <w:rPr>
          <w:rFonts w:eastAsiaTheme="minorEastAsia"/>
          <w:sz w:val="24"/>
          <w:szCs w:val="24"/>
        </w:rPr>
      </w:pPr>
      <w:r>
        <w:rPr>
          <w:rFonts w:eastAsiaTheme="minorEastAsia"/>
          <w:sz w:val="24"/>
          <w:szCs w:val="24"/>
        </w:rPr>
        <w:br w:type="page"/>
      </w:r>
    </w:p>
    <w:p w14:paraId="5D74678D" w14:textId="77777777" w:rsidR="004F7506" w:rsidRPr="00365DD0" w:rsidRDefault="004F7506" w:rsidP="004F7506">
      <w:pPr>
        <w:pStyle w:val="Heading1"/>
        <w:rPr>
          <w:rFonts w:eastAsiaTheme="minorEastAsia"/>
        </w:rPr>
      </w:pPr>
      <w:r w:rsidRPr="00365DD0">
        <w:rPr>
          <w:rFonts w:eastAsiaTheme="minorEastAsia"/>
        </w:rPr>
        <w:lastRenderedPageBreak/>
        <w:t>Bowers Approach:</w:t>
      </w:r>
    </w:p>
    <w:p w14:paraId="55B5866E" w14:textId="77777777" w:rsidR="004F7506" w:rsidRPr="00365DD0" w:rsidRDefault="004F7506" w:rsidP="004F7506">
      <w:pPr>
        <w:rPr>
          <w:rFonts w:eastAsiaTheme="minorEastAsia"/>
          <w:sz w:val="24"/>
          <w:szCs w:val="24"/>
        </w:rPr>
      </w:pPr>
      <w:r w:rsidRPr="00365DD0">
        <w:rPr>
          <w:rFonts w:eastAsiaTheme="minorEastAsia"/>
          <w:sz w:val="24"/>
          <w:szCs w:val="24"/>
        </w:rPr>
        <w:t>Bowers assumed that effective stress was a power law function of velocity (Eq. 2)</w:t>
      </w:r>
    </w:p>
    <w:p w14:paraId="2FF30D9E" w14:textId="77777777" w:rsidR="004F7506" w:rsidRPr="001B1838" w:rsidRDefault="00C46B16" w:rsidP="004F7506">
      <w:pPr>
        <w:jc w:val="center"/>
        <w:rPr>
          <w:rFonts w:eastAsia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v</m:t>
            </m:r>
          </m:sub>
          <m:sup>
            <m:r>
              <w:rPr>
                <w:rFonts w:ascii="Cambria Math" w:eastAsiaTheme="minorEastAsia" w:hAnsi="Cambria Math"/>
                <w:sz w:val="24"/>
                <w:szCs w:val="24"/>
              </w:rPr>
              <m:t>'</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-u</m:t>
        </m:r>
      </m:oMath>
      <w:r w:rsidR="004F7506">
        <w:rPr>
          <w:rFonts w:eastAsiaTheme="minorEastAsia"/>
          <w:sz w:val="24"/>
          <w:szCs w:val="24"/>
        </w:rPr>
        <w:tab/>
      </w:r>
      <w:r w:rsidR="004F7506">
        <w:rPr>
          <w:rFonts w:eastAsiaTheme="minorEastAsia"/>
          <w:sz w:val="24"/>
          <w:szCs w:val="24"/>
        </w:rPr>
        <w:tab/>
        <w:t>Eq. 8</w:t>
      </w:r>
    </w:p>
    <w:p w14:paraId="1A5E3035" w14:textId="77777777" w:rsidR="004F7506" w:rsidRPr="001B1838" w:rsidRDefault="00C46B16" w:rsidP="004F7506">
      <w:pPr>
        <w:jc w:val="center"/>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v-5000</m:t>
                    </m:r>
                  </m:num>
                  <m:den>
                    <m:r>
                      <w:rPr>
                        <w:rFonts w:ascii="Cambria Math" w:eastAsiaTheme="minorEastAsia" w:hAnsi="Cambria Math"/>
                        <w:sz w:val="24"/>
                        <w:szCs w:val="24"/>
                      </w:rPr>
                      <m:t>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B</m:t>
                </m:r>
              </m:den>
            </m:f>
          </m:sup>
        </m:sSup>
      </m:oMath>
      <w:r w:rsidR="004F7506">
        <w:rPr>
          <w:rFonts w:eastAsiaTheme="minorEastAsia"/>
          <w:sz w:val="24"/>
          <w:szCs w:val="24"/>
        </w:rPr>
        <w:tab/>
        <w:t>Eq. 9</w:t>
      </w:r>
    </w:p>
    <w:p w14:paraId="2A6C1182" w14:textId="77777777" w:rsidR="004F7506" w:rsidRPr="001B1838" w:rsidRDefault="004F7506" w:rsidP="004F7506">
      <w:pPr>
        <w:jc w:val="center"/>
        <w:rPr>
          <w:rFonts w:eastAsiaTheme="minorEastAsia"/>
          <w:sz w:val="24"/>
          <w:szCs w:val="24"/>
        </w:rPr>
      </w:pPr>
      <m:oMath>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oMath>
      <w:r w:rsidRPr="001B1838">
        <w:rPr>
          <w:rFonts w:eastAsiaTheme="minorEastAsia"/>
          <w:sz w:val="24"/>
          <w:szCs w:val="24"/>
        </w:rPr>
        <w:tab/>
      </w:r>
      <w:r w:rsidRPr="001B1838">
        <w:rPr>
          <w:rFonts w:eastAsiaTheme="minorEastAsia"/>
          <w:sz w:val="24"/>
          <w:szCs w:val="24"/>
        </w:rPr>
        <w:tab/>
        <w:t xml:space="preserve"> </w:t>
      </w:r>
      <w:r>
        <w:rPr>
          <w:rFonts w:eastAsiaTheme="minorEastAsia"/>
          <w:sz w:val="24"/>
          <w:szCs w:val="24"/>
        </w:rPr>
        <w:t>Eq. 10</w:t>
      </w:r>
    </w:p>
    <w:p w14:paraId="0EE8812B" w14:textId="77777777" w:rsidR="004F7506" w:rsidRPr="001B1838" w:rsidRDefault="004F7506" w:rsidP="004F7506">
      <w:pPr>
        <w:jc w:val="center"/>
        <w:rPr>
          <w:rFonts w:eastAsiaTheme="minorEastAsia"/>
          <w:sz w:val="24"/>
          <w:szCs w:val="24"/>
        </w:rPr>
      </w:pPr>
      <m:oMath>
        <m:r>
          <w:rPr>
            <w:rFonts w:ascii="Cambria Math" w:eastAsiaTheme="minorEastAsia" w:hAnsi="Cambria Math"/>
            <w:sz w:val="24"/>
            <w:szCs w:val="24"/>
          </w:rPr>
          <m:t xml:space="preserve">u= </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v-5000</m:t>
                    </m:r>
                  </m:num>
                  <m:den>
                    <m:r>
                      <w:rPr>
                        <w:rFonts w:ascii="Cambria Math" w:eastAsiaTheme="minorEastAsia" w:hAnsi="Cambria Math"/>
                        <w:sz w:val="24"/>
                        <w:szCs w:val="24"/>
                      </w:rPr>
                      <m:t>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B</m:t>
                </m:r>
              </m:den>
            </m:f>
          </m:sup>
        </m:sSup>
      </m:oMath>
      <w:r w:rsidRPr="001B1838">
        <w:rPr>
          <w:rFonts w:eastAsiaTheme="minorEastAsia"/>
          <w:sz w:val="24"/>
          <w:szCs w:val="24"/>
        </w:rPr>
        <w:tab/>
        <w:t xml:space="preserve">  Eq. </w:t>
      </w:r>
      <w:r>
        <w:rPr>
          <w:rFonts w:eastAsiaTheme="minorEastAsia"/>
          <w:sz w:val="24"/>
          <w:szCs w:val="24"/>
        </w:rPr>
        <w:t>11</w:t>
      </w:r>
    </w:p>
    <w:p w14:paraId="08B01967" w14:textId="77777777" w:rsidR="004F7506" w:rsidRPr="001B1838" w:rsidRDefault="004F7506" w:rsidP="004F7506">
      <w:pPr>
        <w:rPr>
          <w:rFonts w:eastAsiaTheme="minorEastAsia"/>
          <w:sz w:val="24"/>
          <w:szCs w:val="24"/>
        </w:rPr>
      </w:pPr>
      <w:r w:rsidRPr="001B1838">
        <w:rPr>
          <w:rFonts w:eastAsiaTheme="minorEastAsia"/>
          <w:sz w:val="24"/>
          <w:szCs w:val="24"/>
        </w:rPr>
        <w:t>To constrain the parameters A and B, we plot the hydrostatic effecti</w:t>
      </w:r>
      <w:r>
        <w:rPr>
          <w:rFonts w:eastAsiaTheme="minorEastAsia"/>
          <w:sz w:val="24"/>
          <w:szCs w:val="24"/>
        </w:rPr>
        <w:t>ve stress against v -5000 (Fig 4</w:t>
      </w:r>
      <w:r w:rsidRPr="001B1838">
        <w:rPr>
          <w:rFonts w:eastAsiaTheme="minorEastAsia"/>
          <w:sz w:val="24"/>
          <w:szCs w:val="24"/>
        </w:rPr>
        <w:t>)</w:t>
      </w:r>
    </w:p>
    <w:p w14:paraId="66CB4288" w14:textId="77777777" w:rsidR="004F7506" w:rsidRPr="001B1838" w:rsidRDefault="004F7506" w:rsidP="004F7506">
      <w:pPr>
        <w:spacing w:after="0"/>
        <w:jc w:val="center"/>
        <w:rPr>
          <w:rFonts w:eastAsiaTheme="minorEastAsia"/>
          <w:sz w:val="24"/>
          <w:szCs w:val="24"/>
        </w:rPr>
      </w:pPr>
      <w:r w:rsidRPr="001B1838">
        <w:rPr>
          <w:noProof/>
          <w:sz w:val="24"/>
          <w:szCs w:val="24"/>
        </w:rPr>
        <w:drawing>
          <wp:inline distT="0" distB="0" distL="0" distR="0" wp14:anchorId="41508274" wp14:editId="48A9833E">
            <wp:extent cx="4595192" cy="2743200"/>
            <wp:effectExtent l="0" t="0" r="1524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C44B80" w14:textId="235A79AF" w:rsidR="004F7506" w:rsidRPr="001B1838" w:rsidRDefault="004F7506" w:rsidP="004F7506">
      <w:pPr>
        <w:ind w:left="810" w:right="810"/>
        <w:rPr>
          <w:rFonts w:eastAsiaTheme="minorEastAsia"/>
          <w:sz w:val="24"/>
          <w:szCs w:val="24"/>
        </w:rPr>
      </w:pPr>
      <w:r>
        <w:rPr>
          <w:rFonts w:eastAsiaTheme="minorEastAsia"/>
          <w:i/>
          <w:sz w:val="24"/>
          <w:szCs w:val="24"/>
        </w:rPr>
        <w:t xml:space="preserve">Fig </w:t>
      </w:r>
      <w:r w:rsidR="003D2227">
        <w:rPr>
          <w:rFonts w:eastAsiaTheme="minorEastAsia"/>
          <w:i/>
          <w:sz w:val="24"/>
          <w:szCs w:val="24"/>
        </w:rPr>
        <w:t>5</w:t>
      </w:r>
      <w:r w:rsidRPr="001B1838">
        <w:rPr>
          <w:rFonts w:eastAsiaTheme="minorEastAsia"/>
          <w:i/>
          <w:sz w:val="24"/>
          <w:szCs w:val="24"/>
        </w:rPr>
        <w:t>: Example plot of hydrostatic effective stress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vh</m:t>
            </m:r>
          </m:sub>
        </m:sSub>
        <m:r>
          <w:rPr>
            <w:rFonts w:ascii="Cambria Math" w:eastAsiaTheme="minorEastAsia" w:hAnsi="Cambria Math"/>
            <w:sz w:val="24"/>
            <w:szCs w:val="24"/>
          </w:rPr>
          <m:t>'</m:t>
        </m:r>
      </m:oMath>
      <w:r w:rsidRPr="001B1838">
        <w:rPr>
          <w:rFonts w:eastAsiaTheme="minorEastAsia"/>
          <w:i/>
          <w:sz w:val="24"/>
          <w:szCs w:val="24"/>
        </w:rPr>
        <w:t>) against velocity less 5,000 feet (v-5000).</w:t>
      </w:r>
      <w:r w:rsidR="00C46B16">
        <w:rPr>
          <w:rFonts w:eastAsiaTheme="minorEastAsia"/>
          <w:i/>
          <w:sz w:val="24"/>
          <w:szCs w:val="24"/>
        </w:rPr>
        <w:t xml:space="preserve"> See Figure 5.11 </w:t>
      </w:r>
      <w:r w:rsidR="00C46B16" w:rsidRPr="00C46B16">
        <w:rPr>
          <w:rFonts w:eastAsiaTheme="minorEastAsia"/>
          <w:i/>
          <w:sz w:val="24"/>
          <w:szCs w:val="24"/>
        </w:rPr>
        <w:t>{Flemings, 2021 #4105}</w:t>
      </w:r>
      <w:r w:rsidR="00C46B16">
        <w:rPr>
          <w:rFonts w:eastAsiaTheme="minorEastAsia"/>
          <w:i/>
          <w:sz w:val="24"/>
          <w:szCs w:val="24"/>
        </w:rPr>
        <w:t>.</w:t>
      </w:r>
    </w:p>
    <w:p w14:paraId="6B913D25" w14:textId="77777777" w:rsidR="004F7506" w:rsidRPr="00365DD0" w:rsidRDefault="004F7506" w:rsidP="004F7506">
      <w:pPr>
        <w:pStyle w:val="ListParagraph"/>
        <w:numPr>
          <w:ilvl w:val="0"/>
          <w:numId w:val="5"/>
        </w:numPr>
        <w:rPr>
          <w:rFonts w:eastAsiaTheme="minorEastAsia"/>
          <w:sz w:val="24"/>
          <w:szCs w:val="24"/>
        </w:rPr>
      </w:pPr>
      <w:r w:rsidRPr="00365DD0">
        <w:rPr>
          <w:rFonts w:eastAsiaTheme="minorEastAsia"/>
          <w:sz w:val="24"/>
          <w:szCs w:val="24"/>
        </w:rPr>
        <w:t xml:space="preserve">Calculate A and B parameters using the provided spread sheet. Examine the predicted pressure vs. depth and come up with your preferred model. </w:t>
      </w:r>
    </w:p>
    <w:p w14:paraId="3DE3B7DE" w14:textId="77777777" w:rsidR="004F7506" w:rsidRPr="001B1838" w:rsidRDefault="004F7506" w:rsidP="004F7506">
      <w:pPr>
        <w:rPr>
          <w:rFonts w:eastAsiaTheme="minorEastAsia"/>
          <w:sz w:val="24"/>
          <w:szCs w:val="24"/>
        </w:rPr>
      </w:pPr>
      <w:r w:rsidRPr="001B1838">
        <w:rPr>
          <w:rFonts w:eastAsiaTheme="minorEastAsia"/>
          <w:sz w:val="24"/>
          <w:szCs w:val="24"/>
        </w:rPr>
        <w:t xml:space="preserve">Table 1: interpreted Bowers parameters. </w:t>
      </w:r>
    </w:p>
    <w:tbl>
      <w:tblPr>
        <w:tblStyle w:val="TableGrid"/>
        <w:tblW w:w="9198" w:type="dxa"/>
        <w:tblLook w:val="04A0" w:firstRow="1" w:lastRow="0" w:firstColumn="1" w:lastColumn="0" w:noHBand="0" w:noVBand="1"/>
      </w:tblPr>
      <w:tblGrid>
        <w:gridCol w:w="3798"/>
        <w:gridCol w:w="2670"/>
        <w:gridCol w:w="1560"/>
        <w:gridCol w:w="1170"/>
      </w:tblGrid>
      <w:tr w:rsidR="004F7506" w:rsidRPr="001B1838" w14:paraId="45684979" w14:textId="77777777" w:rsidTr="00043420">
        <w:trPr>
          <w:trHeight w:val="134"/>
        </w:trPr>
        <w:tc>
          <w:tcPr>
            <w:tcW w:w="3798" w:type="dxa"/>
          </w:tcPr>
          <w:p w14:paraId="64118A33" w14:textId="77777777" w:rsidR="004F7506" w:rsidRPr="001B1838" w:rsidRDefault="004F7506" w:rsidP="00043420">
            <w:pPr>
              <w:rPr>
                <w:rFonts w:eastAsiaTheme="minorEastAsia"/>
                <w:b/>
                <w:sz w:val="24"/>
                <w:szCs w:val="24"/>
              </w:rPr>
            </w:pPr>
            <w:r w:rsidRPr="001B1838">
              <w:rPr>
                <w:rFonts w:eastAsiaTheme="minorEastAsia"/>
                <w:b/>
                <w:sz w:val="24"/>
                <w:szCs w:val="24"/>
              </w:rPr>
              <w:t>Depth (ft.) interval of regression</w:t>
            </w:r>
          </w:p>
        </w:tc>
        <w:tc>
          <w:tcPr>
            <w:tcW w:w="2670" w:type="dxa"/>
          </w:tcPr>
          <w:p w14:paraId="0FEFBC78" w14:textId="77777777" w:rsidR="004F7506" w:rsidRPr="001B1838" w:rsidRDefault="004F7506" w:rsidP="00043420">
            <w:pPr>
              <w:rPr>
                <w:rFonts w:eastAsiaTheme="minorEastAsia"/>
                <w:b/>
                <w:sz w:val="24"/>
                <w:szCs w:val="24"/>
              </w:rPr>
            </w:pPr>
            <w:r w:rsidRPr="001B1838">
              <w:rPr>
                <w:rFonts w:eastAsiaTheme="minorEastAsia"/>
                <w:b/>
                <w:sz w:val="24"/>
                <w:szCs w:val="24"/>
              </w:rPr>
              <w:t>Excel Row Interval</w:t>
            </w:r>
          </w:p>
        </w:tc>
        <w:tc>
          <w:tcPr>
            <w:tcW w:w="1560" w:type="dxa"/>
          </w:tcPr>
          <w:p w14:paraId="7B1DF752" w14:textId="77777777" w:rsidR="004F7506" w:rsidRPr="001B1838" w:rsidRDefault="004F7506" w:rsidP="00043420">
            <w:pPr>
              <w:rPr>
                <w:rFonts w:eastAsiaTheme="minorEastAsia"/>
                <w:b/>
                <w:sz w:val="24"/>
                <w:szCs w:val="24"/>
              </w:rPr>
            </w:pPr>
            <w:r w:rsidRPr="001B1838">
              <w:rPr>
                <w:rFonts w:eastAsiaTheme="minorEastAsia"/>
                <w:b/>
                <w:sz w:val="24"/>
                <w:szCs w:val="24"/>
              </w:rPr>
              <w:t>A</w:t>
            </w:r>
          </w:p>
        </w:tc>
        <w:tc>
          <w:tcPr>
            <w:tcW w:w="1170" w:type="dxa"/>
          </w:tcPr>
          <w:p w14:paraId="47A5F9AD" w14:textId="77777777" w:rsidR="004F7506" w:rsidRPr="001B1838" w:rsidRDefault="004F7506" w:rsidP="00043420">
            <w:pPr>
              <w:rPr>
                <w:rFonts w:eastAsiaTheme="minorEastAsia"/>
                <w:b/>
                <w:sz w:val="24"/>
                <w:szCs w:val="24"/>
              </w:rPr>
            </w:pPr>
            <w:r w:rsidRPr="001B1838">
              <w:rPr>
                <w:rFonts w:eastAsiaTheme="minorEastAsia"/>
                <w:b/>
                <w:sz w:val="24"/>
                <w:szCs w:val="24"/>
              </w:rPr>
              <w:t>B</w:t>
            </w:r>
          </w:p>
        </w:tc>
      </w:tr>
      <w:tr w:rsidR="007C4DB2" w:rsidRPr="001B1838" w14:paraId="75D08DCD" w14:textId="77777777" w:rsidTr="00043420">
        <w:trPr>
          <w:trHeight w:val="480"/>
        </w:trPr>
        <w:tc>
          <w:tcPr>
            <w:tcW w:w="3798" w:type="dxa"/>
            <w:vAlign w:val="center"/>
          </w:tcPr>
          <w:p w14:paraId="4CD788D0" w14:textId="77777777" w:rsidR="007C4DB2" w:rsidRPr="00B05095" w:rsidRDefault="007C4DB2" w:rsidP="007C4DB2">
            <w:pPr>
              <w:rPr>
                <w:rFonts w:eastAsiaTheme="minorEastAsia"/>
                <w:b/>
                <w:sz w:val="24"/>
                <w:szCs w:val="24"/>
              </w:rPr>
            </w:pPr>
            <w:r w:rsidRPr="00B05095">
              <w:rPr>
                <w:rFonts w:eastAsiaTheme="minorEastAsia"/>
                <w:b/>
                <w:sz w:val="24"/>
                <w:szCs w:val="24"/>
              </w:rPr>
              <w:t>0-3000</w:t>
            </w:r>
          </w:p>
        </w:tc>
        <w:tc>
          <w:tcPr>
            <w:tcW w:w="2670" w:type="dxa"/>
            <w:vAlign w:val="center"/>
          </w:tcPr>
          <w:p w14:paraId="03A875F3" w14:textId="77777777" w:rsidR="007C4DB2" w:rsidRPr="00B05095" w:rsidRDefault="007C4DB2" w:rsidP="007C4DB2">
            <w:pPr>
              <w:rPr>
                <w:rFonts w:eastAsiaTheme="minorEastAsia"/>
                <w:b/>
                <w:sz w:val="24"/>
                <w:szCs w:val="24"/>
              </w:rPr>
            </w:pPr>
            <w:r w:rsidRPr="00B05095">
              <w:rPr>
                <w:rFonts w:eastAsiaTheme="minorEastAsia"/>
                <w:b/>
                <w:sz w:val="24"/>
                <w:szCs w:val="24"/>
              </w:rPr>
              <w:t>3-31</w:t>
            </w:r>
          </w:p>
        </w:tc>
        <w:tc>
          <w:tcPr>
            <w:tcW w:w="1560" w:type="dxa"/>
            <w:vAlign w:val="center"/>
          </w:tcPr>
          <w:p w14:paraId="70C18B58" w14:textId="77777777" w:rsidR="007C4DB2" w:rsidRPr="001B1838" w:rsidRDefault="00676F59" w:rsidP="007C4DB2">
            <w:pPr>
              <w:rPr>
                <w:rFonts w:eastAsiaTheme="minorEastAsia"/>
                <w:sz w:val="24"/>
                <w:szCs w:val="24"/>
              </w:rPr>
            </w:pPr>
            <w:r>
              <w:rPr>
                <w:rFonts w:eastAsiaTheme="minorEastAsia"/>
                <w:sz w:val="24"/>
                <w:szCs w:val="24"/>
              </w:rPr>
              <w:t>.2</w:t>
            </w:r>
            <w:r w:rsidR="007C4DB2">
              <w:rPr>
                <w:rFonts w:eastAsiaTheme="minorEastAsia"/>
                <w:sz w:val="24"/>
                <w:szCs w:val="24"/>
              </w:rPr>
              <w:t>7</w:t>
            </w:r>
          </w:p>
        </w:tc>
        <w:tc>
          <w:tcPr>
            <w:tcW w:w="1170" w:type="dxa"/>
            <w:vAlign w:val="center"/>
          </w:tcPr>
          <w:p w14:paraId="4C0BA548" w14:textId="77777777" w:rsidR="007C4DB2" w:rsidRPr="001B1838" w:rsidRDefault="007C4DB2" w:rsidP="007C4DB2">
            <w:pPr>
              <w:rPr>
                <w:rFonts w:eastAsiaTheme="minorEastAsia"/>
                <w:sz w:val="24"/>
                <w:szCs w:val="24"/>
              </w:rPr>
            </w:pPr>
            <w:r>
              <w:rPr>
                <w:rFonts w:eastAsiaTheme="minorEastAsia"/>
                <w:sz w:val="24"/>
                <w:szCs w:val="24"/>
              </w:rPr>
              <w:t>1.28</w:t>
            </w:r>
          </w:p>
        </w:tc>
      </w:tr>
      <w:tr w:rsidR="007C4DB2" w:rsidRPr="001B1838" w14:paraId="0172B278" w14:textId="77777777" w:rsidTr="00043420">
        <w:trPr>
          <w:trHeight w:val="452"/>
        </w:trPr>
        <w:tc>
          <w:tcPr>
            <w:tcW w:w="3798" w:type="dxa"/>
            <w:vAlign w:val="center"/>
          </w:tcPr>
          <w:p w14:paraId="5CDCD8B9" w14:textId="77777777" w:rsidR="007C4DB2" w:rsidRPr="00B05095" w:rsidRDefault="007C4DB2" w:rsidP="007C4DB2">
            <w:pPr>
              <w:rPr>
                <w:rFonts w:eastAsiaTheme="minorEastAsia"/>
                <w:b/>
                <w:sz w:val="24"/>
                <w:szCs w:val="24"/>
              </w:rPr>
            </w:pPr>
            <w:r>
              <w:rPr>
                <w:rFonts w:eastAsiaTheme="minorEastAsia"/>
                <w:b/>
                <w:sz w:val="24"/>
                <w:szCs w:val="24"/>
              </w:rPr>
              <w:t>0-5300</w:t>
            </w:r>
          </w:p>
        </w:tc>
        <w:tc>
          <w:tcPr>
            <w:tcW w:w="2670" w:type="dxa"/>
            <w:vAlign w:val="center"/>
          </w:tcPr>
          <w:p w14:paraId="1F7316BD" w14:textId="77777777" w:rsidR="007C4DB2" w:rsidRPr="00B05095" w:rsidRDefault="007C4DB2" w:rsidP="007C4DB2">
            <w:pPr>
              <w:rPr>
                <w:rFonts w:eastAsiaTheme="minorEastAsia"/>
                <w:b/>
                <w:sz w:val="24"/>
                <w:szCs w:val="24"/>
              </w:rPr>
            </w:pPr>
            <w:r w:rsidRPr="00B05095">
              <w:rPr>
                <w:rFonts w:eastAsiaTheme="minorEastAsia"/>
                <w:b/>
                <w:sz w:val="24"/>
                <w:szCs w:val="24"/>
              </w:rPr>
              <w:t>3-38</w:t>
            </w:r>
          </w:p>
        </w:tc>
        <w:tc>
          <w:tcPr>
            <w:tcW w:w="1560" w:type="dxa"/>
            <w:vAlign w:val="center"/>
          </w:tcPr>
          <w:p w14:paraId="1D3C08DC" w14:textId="77777777" w:rsidR="007C4DB2" w:rsidRPr="001B1838" w:rsidRDefault="007C4DB2" w:rsidP="007C4DB2">
            <w:pPr>
              <w:rPr>
                <w:rFonts w:eastAsiaTheme="minorEastAsia"/>
                <w:sz w:val="24"/>
                <w:szCs w:val="24"/>
              </w:rPr>
            </w:pPr>
            <w:r>
              <w:rPr>
                <w:rFonts w:eastAsiaTheme="minorEastAsia"/>
                <w:sz w:val="24"/>
                <w:szCs w:val="24"/>
              </w:rPr>
              <w:t>.616</w:t>
            </w:r>
          </w:p>
        </w:tc>
        <w:tc>
          <w:tcPr>
            <w:tcW w:w="1170" w:type="dxa"/>
            <w:vAlign w:val="center"/>
          </w:tcPr>
          <w:p w14:paraId="232C9C3E" w14:textId="77777777" w:rsidR="007C4DB2" w:rsidRPr="001B1838" w:rsidRDefault="007C4DB2" w:rsidP="007C4DB2">
            <w:pPr>
              <w:rPr>
                <w:rFonts w:eastAsiaTheme="minorEastAsia"/>
                <w:sz w:val="24"/>
                <w:szCs w:val="24"/>
              </w:rPr>
            </w:pPr>
            <w:r>
              <w:rPr>
                <w:rFonts w:eastAsiaTheme="minorEastAsia"/>
                <w:sz w:val="24"/>
                <w:szCs w:val="24"/>
              </w:rPr>
              <w:t>1.14</w:t>
            </w:r>
          </w:p>
        </w:tc>
      </w:tr>
      <w:tr w:rsidR="007C4DB2" w:rsidRPr="001B1838" w14:paraId="09B75DA7" w14:textId="77777777" w:rsidTr="00043420">
        <w:trPr>
          <w:trHeight w:val="452"/>
        </w:trPr>
        <w:tc>
          <w:tcPr>
            <w:tcW w:w="3798" w:type="dxa"/>
            <w:vAlign w:val="center"/>
          </w:tcPr>
          <w:p w14:paraId="2835650F" w14:textId="77777777" w:rsidR="007C4DB2" w:rsidRPr="00B05095" w:rsidRDefault="007C4DB2" w:rsidP="007C4DB2">
            <w:pPr>
              <w:rPr>
                <w:rFonts w:eastAsiaTheme="minorEastAsia"/>
                <w:b/>
                <w:sz w:val="24"/>
                <w:szCs w:val="24"/>
              </w:rPr>
            </w:pPr>
            <w:r>
              <w:rPr>
                <w:rFonts w:eastAsiaTheme="minorEastAsia"/>
                <w:b/>
                <w:sz w:val="24"/>
                <w:szCs w:val="24"/>
              </w:rPr>
              <w:t>1200</w:t>
            </w:r>
            <w:r w:rsidRPr="00B05095">
              <w:rPr>
                <w:rFonts w:eastAsiaTheme="minorEastAsia"/>
                <w:b/>
                <w:sz w:val="24"/>
                <w:szCs w:val="24"/>
              </w:rPr>
              <w:t>-</w:t>
            </w:r>
            <w:r>
              <w:rPr>
                <w:rFonts w:eastAsiaTheme="minorEastAsia"/>
                <w:b/>
                <w:sz w:val="24"/>
                <w:szCs w:val="24"/>
              </w:rPr>
              <w:t>43</w:t>
            </w:r>
            <w:r w:rsidRPr="00B05095">
              <w:rPr>
                <w:rFonts w:eastAsiaTheme="minorEastAsia"/>
                <w:b/>
                <w:sz w:val="24"/>
                <w:szCs w:val="24"/>
              </w:rPr>
              <w:t>00’</w:t>
            </w:r>
          </w:p>
        </w:tc>
        <w:tc>
          <w:tcPr>
            <w:tcW w:w="2670" w:type="dxa"/>
            <w:vAlign w:val="center"/>
          </w:tcPr>
          <w:p w14:paraId="2372C486" w14:textId="77777777" w:rsidR="007C4DB2" w:rsidRPr="00B05095" w:rsidRDefault="007C4DB2" w:rsidP="007C4DB2">
            <w:pPr>
              <w:rPr>
                <w:rFonts w:eastAsiaTheme="minorEastAsia"/>
                <w:b/>
                <w:sz w:val="24"/>
                <w:szCs w:val="24"/>
              </w:rPr>
            </w:pPr>
            <w:r w:rsidRPr="00B05095">
              <w:rPr>
                <w:rFonts w:eastAsiaTheme="minorEastAsia"/>
                <w:b/>
                <w:sz w:val="24"/>
                <w:szCs w:val="24"/>
              </w:rPr>
              <w:t>12-34</w:t>
            </w:r>
          </w:p>
        </w:tc>
        <w:tc>
          <w:tcPr>
            <w:tcW w:w="1560" w:type="dxa"/>
            <w:vAlign w:val="center"/>
          </w:tcPr>
          <w:p w14:paraId="04EA0005" w14:textId="77777777" w:rsidR="007C4DB2" w:rsidRPr="001B1838" w:rsidRDefault="007C4DB2" w:rsidP="007C4DB2">
            <w:pPr>
              <w:rPr>
                <w:rFonts w:eastAsiaTheme="minorEastAsia"/>
                <w:sz w:val="24"/>
                <w:szCs w:val="24"/>
              </w:rPr>
            </w:pPr>
            <w:r>
              <w:rPr>
                <w:rFonts w:eastAsiaTheme="minorEastAsia"/>
                <w:sz w:val="24"/>
                <w:szCs w:val="24"/>
              </w:rPr>
              <w:t>4.6</w:t>
            </w:r>
          </w:p>
        </w:tc>
        <w:tc>
          <w:tcPr>
            <w:tcW w:w="1170" w:type="dxa"/>
            <w:vAlign w:val="center"/>
          </w:tcPr>
          <w:p w14:paraId="200F658C" w14:textId="77777777" w:rsidR="007C4DB2" w:rsidRPr="001B1838" w:rsidRDefault="007C4DB2" w:rsidP="007C4DB2">
            <w:pPr>
              <w:rPr>
                <w:rFonts w:eastAsiaTheme="minorEastAsia"/>
                <w:sz w:val="24"/>
                <w:szCs w:val="24"/>
              </w:rPr>
            </w:pPr>
            <w:r>
              <w:rPr>
                <w:rFonts w:eastAsiaTheme="minorEastAsia"/>
                <w:sz w:val="24"/>
                <w:szCs w:val="24"/>
              </w:rPr>
              <w:t>.845</w:t>
            </w:r>
          </w:p>
        </w:tc>
      </w:tr>
    </w:tbl>
    <w:p w14:paraId="5A908AD3" w14:textId="77777777" w:rsidR="007C4DB2" w:rsidRDefault="007C4DB2" w:rsidP="006668EB">
      <w:pPr>
        <w:rPr>
          <w:rFonts w:eastAsiaTheme="minorEastAsia"/>
          <w:sz w:val="24"/>
          <w:szCs w:val="24"/>
        </w:rPr>
      </w:pPr>
    </w:p>
    <w:p w14:paraId="762A96DB" w14:textId="77777777" w:rsidR="007C4DB2" w:rsidRDefault="007C4DB2">
      <w:pPr>
        <w:rPr>
          <w:rFonts w:eastAsiaTheme="minorEastAsia"/>
          <w:sz w:val="24"/>
          <w:szCs w:val="24"/>
        </w:rPr>
      </w:pPr>
    </w:p>
    <w:p w14:paraId="5AEA3BC1" w14:textId="3DEE023B" w:rsidR="00676F59" w:rsidRPr="001B1838" w:rsidRDefault="00676F59" w:rsidP="00676F59">
      <w:pPr>
        <w:rPr>
          <w:rFonts w:eastAsiaTheme="minorEastAsia"/>
          <w:sz w:val="24"/>
          <w:szCs w:val="24"/>
        </w:rPr>
      </w:pPr>
      <w:r>
        <w:rPr>
          <w:rFonts w:eastAsiaTheme="minorEastAsia"/>
          <w:noProof/>
          <w:sz w:val="24"/>
          <w:szCs w:val="24"/>
        </w:rPr>
        <w:drawing>
          <wp:inline distT="0" distB="0" distL="0" distR="0" wp14:anchorId="2A1CB8F7" wp14:editId="2AF0B499">
            <wp:extent cx="5943600" cy="31419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141980"/>
                    </a:xfrm>
                    <a:prstGeom prst="rect">
                      <a:avLst/>
                    </a:prstGeom>
                  </pic:spPr>
                </pic:pic>
              </a:graphicData>
            </a:graphic>
          </wp:inline>
        </w:drawing>
      </w:r>
      <w:r w:rsidR="003D2227">
        <w:rPr>
          <w:rFonts w:eastAsiaTheme="minorEastAsia"/>
          <w:sz w:val="24"/>
          <w:szCs w:val="24"/>
        </w:rPr>
        <w:t xml:space="preserve">Fig. 6: </w:t>
      </w:r>
      <w:r w:rsidR="007C4DB2">
        <w:rPr>
          <w:rFonts w:eastAsiaTheme="minorEastAsia"/>
          <w:sz w:val="24"/>
          <w:szCs w:val="24"/>
        </w:rPr>
        <w:t xml:space="preserve">Example result for </w:t>
      </w:r>
      <w:r>
        <w:rPr>
          <w:rFonts w:eastAsiaTheme="minorEastAsia"/>
          <w:sz w:val="24"/>
          <w:szCs w:val="24"/>
        </w:rPr>
        <w:t xml:space="preserve">two different regression ranges. Note that the Bowers Equation produces very different results for two different regression ranges. Our goal is to produce hydrostatic pressures (no </w:t>
      </w:r>
      <w:r w:rsidR="003D2227">
        <w:rPr>
          <w:rFonts w:eastAsiaTheme="minorEastAsia"/>
          <w:sz w:val="24"/>
          <w:szCs w:val="24"/>
        </w:rPr>
        <w:t>over</w:t>
      </w:r>
      <w:r>
        <w:rPr>
          <w:rFonts w:eastAsiaTheme="minorEastAsia"/>
          <w:sz w:val="24"/>
          <w:szCs w:val="24"/>
        </w:rPr>
        <w:t>pressure) throughout this section.</w:t>
      </w:r>
      <w:r w:rsidR="00C46B16">
        <w:rPr>
          <w:rFonts w:eastAsiaTheme="minorEastAsia"/>
          <w:sz w:val="24"/>
          <w:szCs w:val="24"/>
        </w:rPr>
        <w:t xml:space="preserve"> See Figure 5.12</w:t>
      </w:r>
      <w:r>
        <w:rPr>
          <w:rFonts w:eastAsiaTheme="minorEastAsia"/>
          <w:sz w:val="24"/>
          <w:szCs w:val="24"/>
        </w:rPr>
        <w:t xml:space="preserve"> </w:t>
      </w:r>
      <w:r w:rsidR="00C46B16" w:rsidRPr="00C46B16">
        <w:rPr>
          <w:rFonts w:eastAsiaTheme="minorEastAsia"/>
          <w:sz w:val="24"/>
          <w:szCs w:val="24"/>
        </w:rPr>
        <w:t>{Flemings, 2021 #4105}</w:t>
      </w:r>
      <w:r w:rsidR="00C46B16">
        <w:rPr>
          <w:rFonts w:eastAsiaTheme="minorEastAsia"/>
          <w:sz w:val="24"/>
          <w:szCs w:val="24"/>
        </w:rPr>
        <w:t>.</w:t>
      </w:r>
      <w:bookmarkStart w:id="0" w:name="_GoBack"/>
      <w:bookmarkEnd w:id="0"/>
    </w:p>
    <w:p w14:paraId="0D00B2E8" w14:textId="77777777" w:rsidR="003D2227" w:rsidRDefault="003D2227" w:rsidP="006668EB">
      <w:pPr>
        <w:rPr>
          <w:rFonts w:eastAsiaTheme="minorEastAsia"/>
          <w:sz w:val="24"/>
          <w:szCs w:val="24"/>
        </w:rPr>
      </w:pPr>
    </w:p>
    <w:p w14:paraId="11047EC0" w14:textId="77777777" w:rsidR="003D2227" w:rsidRDefault="003D2227" w:rsidP="006668EB">
      <w:pPr>
        <w:rPr>
          <w:rFonts w:eastAsiaTheme="minorEastAsia"/>
          <w:sz w:val="24"/>
          <w:szCs w:val="24"/>
        </w:rPr>
      </w:pPr>
    </w:p>
    <w:p w14:paraId="44B76F63" w14:textId="77777777" w:rsidR="003D2227" w:rsidRPr="003D2227" w:rsidRDefault="003D2227" w:rsidP="003D2227">
      <w:pPr>
        <w:pStyle w:val="EndNoteBibliography"/>
        <w:ind w:left="720" w:hanging="720"/>
      </w:pPr>
      <w:r>
        <w:rPr>
          <w:rFonts w:eastAsiaTheme="minorEastAsia"/>
          <w:sz w:val="24"/>
          <w:szCs w:val="24"/>
        </w:rPr>
        <w:fldChar w:fldCharType="begin"/>
      </w:r>
      <w:r>
        <w:rPr>
          <w:rFonts w:eastAsiaTheme="minorEastAsia"/>
          <w:sz w:val="24"/>
          <w:szCs w:val="24"/>
        </w:rPr>
        <w:instrText xml:space="preserve"> ADDIN EN.REFLIST </w:instrText>
      </w:r>
      <w:r>
        <w:rPr>
          <w:rFonts w:eastAsiaTheme="minorEastAsia"/>
          <w:sz w:val="24"/>
          <w:szCs w:val="24"/>
        </w:rPr>
        <w:fldChar w:fldCharType="separate"/>
      </w:r>
      <w:r w:rsidRPr="003D2227">
        <w:t xml:space="preserve">Flemings, P. (2021). </w:t>
      </w:r>
      <w:r w:rsidRPr="003D2227">
        <w:rPr>
          <w:i/>
        </w:rPr>
        <w:t>A Concise Guide to Geopressure: Origin, Prediction, and Applications</w:t>
      </w:r>
      <w:r w:rsidRPr="003D2227">
        <w:t>: Cambridge Press.</w:t>
      </w:r>
    </w:p>
    <w:p w14:paraId="6703400A" w14:textId="1BBD356E" w:rsidR="007C4DB2" w:rsidRPr="001B1838" w:rsidRDefault="003D2227" w:rsidP="006668EB">
      <w:pPr>
        <w:rPr>
          <w:rFonts w:eastAsiaTheme="minorEastAsia"/>
          <w:sz w:val="24"/>
          <w:szCs w:val="24"/>
        </w:rPr>
      </w:pPr>
      <w:r>
        <w:rPr>
          <w:rFonts w:eastAsiaTheme="minorEastAsia"/>
          <w:sz w:val="24"/>
          <w:szCs w:val="24"/>
        </w:rPr>
        <w:fldChar w:fldCharType="end"/>
      </w:r>
    </w:p>
    <w:sectPr w:rsidR="007C4DB2" w:rsidRPr="001B1838" w:rsidSect="00365DD0">
      <w:headerReference w:type="default" r:id="rId17"/>
      <w:footerReference w:type="default" r:id="rId1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A897" w14:textId="77777777" w:rsidR="00DD5B67" w:rsidRDefault="00DD5B67" w:rsidP="00441DED">
      <w:pPr>
        <w:spacing w:after="0" w:line="240" w:lineRule="auto"/>
      </w:pPr>
      <w:r>
        <w:separator/>
      </w:r>
    </w:p>
  </w:endnote>
  <w:endnote w:type="continuationSeparator" w:id="0">
    <w:p w14:paraId="04788DB2" w14:textId="77777777" w:rsidR="00DD5B67" w:rsidRDefault="00DD5B67" w:rsidP="0044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2D8C" w14:textId="784EE221" w:rsidR="00E003AA" w:rsidRDefault="00E003AA" w:rsidP="00365DD0">
    <w:pPr>
      <w:pStyle w:val="Footer"/>
      <w:tabs>
        <w:tab w:val="clear" w:pos="9360"/>
        <w:tab w:val="right" w:pos="7740"/>
      </w:tabs>
    </w:pPr>
    <w:r>
      <w:t>HW</w:t>
    </w:r>
    <w:r w:rsidR="00FD6E37">
      <w:t>-</w:t>
    </w:r>
    <w:r w:rsidR="003D2227">
      <w:t>5.1</w:t>
    </w:r>
    <w:r>
      <w:t xml:space="preserve">: </w:t>
    </w:r>
    <w:r w:rsidR="003D2227">
      <w:t>Normal Compaction Trend Analysis Answers</w:t>
    </w:r>
    <w:r>
      <w:tab/>
    </w:r>
    <w:r>
      <w:tab/>
    </w:r>
    <w:sdt>
      <w:sdtPr>
        <w:id w:val="-1231694381"/>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B66348">
          <w:rPr>
            <w:noProof/>
          </w:rPr>
          <w:t>1</w:t>
        </w:r>
        <w:r>
          <w:rPr>
            <w:noProof/>
          </w:rPr>
          <w:fldChar w:fldCharType="end"/>
        </w:r>
        <w:r>
          <w:t xml:space="preserve"> </w:t>
        </w:r>
      </w:sdtContent>
    </w:sdt>
  </w:p>
  <w:p w14:paraId="1A5E05B0" w14:textId="703A5554" w:rsidR="00E003AA" w:rsidRDefault="00FD6E37" w:rsidP="00365DD0">
    <w:pPr>
      <w:pStyle w:val="Footer"/>
      <w:tabs>
        <w:tab w:val="clear" w:pos="9360"/>
        <w:tab w:val="right" w:pos="7920"/>
      </w:tabs>
    </w:pPr>
    <w:r>
      <w:t>© 20</w:t>
    </w:r>
    <w:r w:rsidR="003D2227">
      <w:t>21</w:t>
    </w:r>
    <w:r>
      <w:t xml:space="preserve"> Flemings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0C4D2" w14:textId="77777777" w:rsidR="00DD5B67" w:rsidRDefault="00DD5B67" w:rsidP="00441DED">
      <w:pPr>
        <w:spacing w:after="0" w:line="240" w:lineRule="auto"/>
      </w:pPr>
      <w:r>
        <w:separator/>
      </w:r>
    </w:p>
  </w:footnote>
  <w:footnote w:type="continuationSeparator" w:id="0">
    <w:p w14:paraId="3198BF42" w14:textId="77777777" w:rsidR="00DD5B67" w:rsidRDefault="00DD5B67" w:rsidP="0044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91341" w14:textId="77777777" w:rsidR="00365DD0" w:rsidRDefault="00365DD0" w:rsidP="00365DD0">
    <w:pPr>
      <w:pStyle w:val="Header"/>
      <w:tabs>
        <w:tab w:val="clear" w:pos="9360"/>
        <w:tab w:val="righ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3D1"/>
    <w:multiLevelType w:val="hybridMultilevel"/>
    <w:tmpl w:val="9B8CB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C225BF"/>
    <w:multiLevelType w:val="hybridMultilevel"/>
    <w:tmpl w:val="3D60F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0003F"/>
    <w:multiLevelType w:val="hybridMultilevel"/>
    <w:tmpl w:val="ACCA6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0F69A5"/>
    <w:multiLevelType w:val="hybridMultilevel"/>
    <w:tmpl w:val="54BAC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676BD0"/>
    <w:multiLevelType w:val="hybridMultilevel"/>
    <w:tmpl w:val="B6A426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merican Geophysical Union Style Guide Copy&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x0w90px50esfe00fnpsws0rztwp5vp2wxx&quot;&gt;flemingsadmin@utexas.edu&lt;record-ids&gt;&lt;item&gt;4105&lt;/item&gt;&lt;/record-ids&gt;&lt;/item&gt;&lt;/Libraries&gt;"/>
  </w:docVars>
  <w:rsids>
    <w:rsidRoot w:val="003252F9"/>
    <w:rsid w:val="00073F87"/>
    <w:rsid w:val="00095ABF"/>
    <w:rsid w:val="000C5BFA"/>
    <w:rsid w:val="00131F12"/>
    <w:rsid w:val="00142D34"/>
    <w:rsid w:val="001B1838"/>
    <w:rsid w:val="001C56D9"/>
    <w:rsid w:val="001D302E"/>
    <w:rsid w:val="00233EE8"/>
    <w:rsid w:val="003252F9"/>
    <w:rsid w:val="00365DD0"/>
    <w:rsid w:val="00366C68"/>
    <w:rsid w:val="00383A05"/>
    <w:rsid w:val="00387861"/>
    <w:rsid w:val="00394591"/>
    <w:rsid w:val="003A2ED2"/>
    <w:rsid w:val="003C1B68"/>
    <w:rsid w:val="003D15FC"/>
    <w:rsid w:val="003D2227"/>
    <w:rsid w:val="00441DED"/>
    <w:rsid w:val="00450C9D"/>
    <w:rsid w:val="004762CC"/>
    <w:rsid w:val="0049062D"/>
    <w:rsid w:val="004D415D"/>
    <w:rsid w:val="004F7506"/>
    <w:rsid w:val="0051194A"/>
    <w:rsid w:val="00536364"/>
    <w:rsid w:val="006645FA"/>
    <w:rsid w:val="006668EB"/>
    <w:rsid w:val="00676F59"/>
    <w:rsid w:val="006A1C0A"/>
    <w:rsid w:val="006A519E"/>
    <w:rsid w:val="00700448"/>
    <w:rsid w:val="00700673"/>
    <w:rsid w:val="00722A3A"/>
    <w:rsid w:val="00742CD8"/>
    <w:rsid w:val="00750A82"/>
    <w:rsid w:val="00770732"/>
    <w:rsid w:val="007809F8"/>
    <w:rsid w:val="007C2EA3"/>
    <w:rsid w:val="007C4DB2"/>
    <w:rsid w:val="007D5ADD"/>
    <w:rsid w:val="00803442"/>
    <w:rsid w:val="00812239"/>
    <w:rsid w:val="008F50F3"/>
    <w:rsid w:val="00917472"/>
    <w:rsid w:val="00917C08"/>
    <w:rsid w:val="00994D58"/>
    <w:rsid w:val="009B7132"/>
    <w:rsid w:val="009F711C"/>
    <w:rsid w:val="00A12B20"/>
    <w:rsid w:val="00A1473F"/>
    <w:rsid w:val="00A74A6D"/>
    <w:rsid w:val="00AA562D"/>
    <w:rsid w:val="00B26904"/>
    <w:rsid w:val="00B37276"/>
    <w:rsid w:val="00B66348"/>
    <w:rsid w:val="00B91239"/>
    <w:rsid w:val="00BB7701"/>
    <w:rsid w:val="00BC3036"/>
    <w:rsid w:val="00BE71FB"/>
    <w:rsid w:val="00BF18B5"/>
    <w:rsid w:val="00C12296"/>
    <w:rsid w:val="00C46B16"/>
    <w:rsid w:val="00C50320"/>
    <w:rsid w:val="00C94982"/>
    <w:rsid w:val="00CC4BA0"/>
    <w:rsid w:val="00D7343A"/>
    <w:rsid w:val="00DD5B67"/>
    <w:rsid w:val="00E003AA"/>
    <w:rsid w:val="00E77F10"/>
    <w:rsid w:val="00E8775E"/>
    <w:rsid w:val="00F66951"/>
    <w:rsid w:val="00FB17D8"/>
    <w:rsid w:val="00FD2504"/>
    <w:rsid w:val="00FD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039C7"/>
  <w15:docId w15:val="{D9AABEFE-398C-4CD9-A962-039CC002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DD0"/>
  </w:style>
  <w:style w:type="paragraph" w:styleId="Heading1">
    <w:name w:val="heading 1"/>
    <w:basedOn w:val="Normal"/>
    <w:next w:val="Normal"/>
    <w:link w:val="Heading1Char"/>
    <w:uiPriority w:val="9"/>
    <w:qFormat/>
    <w:rsid w:val="00365DD0"/>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65DD0"/>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65DD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65DD0"/>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65D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65DD0"/>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65DD0"/>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65DD0"/>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65DD0"/>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2F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25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2F9"/>
    <w:rPr>
      <w:rFonts w:ascii="Tahoma" w:hAnsi="Tahoma" w:cs="Tahoma"/>
      <w:sz w:val="16"/>
      <w:szCs w:val="16"/>
    </w:rPr>
  </w:style>
  <w:style w:type="character" w:styleId="PlaceholderText">
    <w:name w:val="Placeholder Text"/>
    <w:basedOn w:val="DefaultParagraphFont"/>
    <w:uiPriority w:val="99"/>
    <w:semiHidden/>
    <w:rsid w:val="003252F9"/>
    <w:rPr>
      <w:color w:val="808080"/>
    </w:rPr>
  </w:style>
  <w:style w:type="paragraph" w:styleId="ListParagraph">
    <w:name w:val="List Paragraph"/>
    <w:basedOn w:val="Normal"/>
    <w:uiPriority w:val="34"/>
    <w:qFormat/>
    <w:rsid w:val="00365DD0"/>
    <w:pPr>
      <w:ind w:left="720"/>
      <w:contextualSpacing/>
    </w:pPr>
  </w:style>
  <w:style w:type="table" w:styleId="TableGrid">
    <w:name w:val="Table Grid"/>
    <w:basedOn w:val="TableNormal"/>
    <w:uiPriority w:val="59"/>
    <w:rsid w:val="0066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DED"/>
  </w:style>
  <w:style w:type="paragraph" w:styleId="Footer">
    <w:name w:val="footer"/>
    <w:basedOn w:val="Normal"/>
    <w:link w:val="FooterChar"/>
    <w:uiPriority w:val="99"/>
    <w:unhideWhenUsed/>
    <w:rsid w:val="0044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DED"/>
  </w:style>
  <w:style w:type="paragraph" w:styleId="Title">
    <w:name w:val="Title"/>
    <w:basedOn w:val="Normal"/>
    <w:next w:val="Normal"/>
    <w:link w:val="TitleChar"/>
    <w:uiPriority w:val="10"/>
    <w:qFormat/>
    <w:rsid w:val="00365DD0"/>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65DD0"/>
    <w:rPr>
      <w:smallCaps/>
      <w:sz w:val="52"/>
      <w:szCs w:val="52"/>
    </w:rPr>
  </w:style>
  <w:style w:type="character" w:customStyle="1" w:styleId="Heading1Char">
    <w:name w:val="Heading 1 Char"/>
    <w:basedOn w:val="DefaultParagraphFont"/>
    <w:link w:val="Heading1"/>
    <w:uiPriority w:val="9"/>
    <w:rsid w:val="00365DD0"/>
    <w:rPr>
      <w:smallCaps/>
      <w:spacing w:val="5"/>
      <w:sz w:val="36"/>
      <w:szCs w:val="36"/>
    </w:rPr>
  </w:style>
  <w:style w:type="character" w:customStyle="1" w:styleId="Heading2Char">
    <w:name w:val="Heading 2 Char"/>
    <w:basedOn w:val="DefaultParagraphFont"/>
    <w:link w:val="Heading2"/>
    <w:uiPriority w:val="9"/>
    <w:semiHidden/>
    <w:rsid w:val="00365DD0"/>
    <w:rPr>
      <w:smallCaps/>
      <w:sz w:val="28"/>
      <w:szCs w:val="28"/>
    </w:rPr>
  </w:style>
  <w:style w:type="character" w:customStyle="1" w:styleId="Heading3Char">
    <w:name w:val="Heading 3 Char"/>
    <w:basedOn w:val="DefaultParagraphFont"/>
    <w:link w:val="Heading3"/>
    <w:uiPriority w:val="9"/>
    <w:semiHidden/>
    <w:rsid w:val="00365DD0"/>
    <w:rPr>
      <w:i/>
      <w:iCs/>
      <w:smallCaps/>
      <w:spacing w:val="5"/>
      <w:sz w:val="26"/>
      <w:szCs w:val="26"/>
    </w:rPr>
  </w:style>
  <w:style w:type="character" w:customStyle="1" w:styleId="Heading4Char">
    <w:name w:val="Heading 4 Char"/>
    <w:basedOn w:val="DefaultParagraphFont"/>
    <w:link w:val="Heading4"/>
    <w:uiPriority w:val="9"/>
    <w:semiHidden/>
    <w:rsid w:val="00365DD0"/>
    <w:rPr>
      <w:b/>
      <w:bCs/>
      <w:spacing w:val="5"/>
      <w:sz w:val="24"/>
      <w:szCs w:val="24"/>
    </w:rPr>
  </w:style>
  <w:style w:type="character" w:customStyle="1" w:styleId="Heading5Char">
    <w:name w:val="Heading 5 Char"/>
    <w:basedOn w:val="DefaultParagraphFont"/>
    <w:link w:val="Heading5"/>
    <w:uiPriority w:val="9"/>
    <w:semiHidden/>
    <w:rsid w:val="00365DD0"/>
    <w:rPr>
      <w:i/>
      <w:iCs/>
      <w:sz w:val="24"/>
      <w:szCs w:val="24"/>
    </w:rPr>
  </w:style>
  <w:style w:type="character" w:customStyle="1" w:styleId="Heading6Char">
    <w:name w:val="Heading 6 Char"/>
    <w:basedOn w:val="DefaultParagraphFont"/>
    <w:link w:val="Heading6"/>
    <w:uiPriority w:val="9"/>
    <w:semiHidden/>
    <w:rsid w:val="00365DD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65DD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65DD0"/>
    <w:rPr>
      <w:b/>
      <w:bCs/>
      <w:color w:val="7F7F7F" w:themeColor="text1" w:themeTint="80"/>
      <w:sz w:val="20"/>
      <w:szCs w:val="20"/>
    </w:rPr>
  </w:style>
  <w:style w:type="character" w:customStyle="1" w:styleId="Heading9Char">
    <w:name w:val="Heading 9 Char"/>
    <w:basedOn w:val="DefaultParagraphFont"/>
    <w:link w:val="Heading9"/>
    <w:uiPriority w:val="9"/>
    <w:semiHidden/>
    <w:rsid w:val="00365DD0"/>
    <w:rPr>
      <w:b/>
      <w:bCs/>
      <w:i/>
      <w:iCs/>
      <w:color w:val="7F7F7F" w:themeColor="text1" w:themeTint="80"/>
      <w:sz w:val="18"/>
      <w:szCs w:val="18"/>
    </w:rPr>
  </w:style>
  <w:style w:type="paragraph" w:styleId="Subtitle">
    <w:name w:val="Subtitle"/>
    <w:basedOn w:val="Normal"/>
    <w:next w:val="Normal"/>
    <w:link w:val="SubtitleChar"/>
    <w:uiPriority w:val="11"/>
    <w:qFormat/>
    <w:rsid w:val="00365DD0"/>
    <w:rPr>
      <w:i/>
      <w:iCs/>
      <w:smallCaps/>
      <w:spacing w:val="10"/>
      <w:sz w:val="28"/>
      <w:szCs w:val="28"/>
    </w:rPr>
  </w:style>
  <w:style w:type="character" w:customStyle="1" w:styleId="SubtitleChar">
    <w:name w:val="Subtitle Char"/>
    <w:basedOn w:val="DefaultParagraphFont"/>
    <w:link w:val="Subtitle"/>
    <w:uiPriority w:val="11"/>
    <w:rsid w:val="00365DD0"/>
    <w:rPr>
      <w:i/>
      <w:iCs/>
      <w:smallCaps/>
      <w:spacing w:val="10"/>
      <w:sz w:val="28"/>
      <w:szCs w:val="28"/>
    </w:rPr>
  </w:style>
  <w:style w:type="character" w:styleId="Strong">
    <w:name w:val="Strong"/>
    <w:uiPriority w:val="22"/>
    <w:qFormat/>
    <w:rsid w:val="00365DD0"/>
    <w:rPr>
      <w:b/>
      <w:bCs/>
    </w:rPr>
  </w:style>
  <w:style w:type="character" w:styleId="Emphasis">
    <w:name w:val="Emphasis"/>
    <w:uiPriority w:val="20"/>
    <w:qFormat/>
    <w:rsid w:val="00365DD0"/>
    <w:rPr>
      <w:b/>
      <w:bCs/>
      <w:i/>
      <w:iCs/>
      <w:spacing w:val="10"/>
    </w:rPr>
  </w:style>
  <w:style w:type="paragraph" w:styleId="NoSpacing">
    <w:name w:val="No Spacing"/>
    <w:basedOn w:val="Normal"/>
    <w:uiPriority w:val="1"/>
    <w:qFormat/>
    <w:rsid w:val="00365DD0"/>
    <w:pPr>
      <w:spacing w:after="0" w:line="240" w:lineRule="auto"/>
    </w:pPr>
  </w:style>
  <w:style w:type="paragraph" w:styleId="Quote">
    <w:name w:val="Quote"/>
    <w:basedOn w:val="Normal"/>
    <w:next w:val="Normal"/>
    <w:link w:val="QuoteChar"/>
    <w:uiPriority w:val="29"/>
    <w:qFormat/>
    <w:rsid w:val="00365DD0"/>
    <w:rPr>
      <w:i/>
      <w:iCs/>
    </w:rPr>
  </w:style>
  <w:style w:type="character" w:customStyle="1" w:styleId="QuoteChar">
    <w:name w:val="Quote Char"/>
    <w:basedOn w:val="DefaultParagraphFont"/>
    <w:link w:val="Quote"/>
    <w:uiPriority w:val="29"/>
    <w:rsid w:val="00365DD0"/>
    <w:rPr>
      <w:i/>
      <w:iCs/>
    </w:rPr>
  </w:style>
  <w:style w:type="paragraph" w:styleId="IntenseQuote">
    <w:name w:val="Intense Quote"/>
    <w:basedOn w:val="Normal"/>
    <w:next w:val="Normal"/>
    <w:link w:val="IntenseQuoteChar"/>
    <w:uiPriority w:val="30"/>
    <w:qFormat/>
    <w:rsid w:val="00365D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65DD0"/>
    <w:rPr>
      <w:i/>
      <w:iCs/>
    </w:rPr>
  </w:style>
  <w:style w:type="character" w:styleId="SubtleEmphasis">
    <w:name w:val="Subtle Emphasis"/>
    <w:uiPriority w:val="19"/>
    <w:qFormat/>
    <w:rsid w:val="00365DD0"/>
    <w:rPr>
      <w:i/>
      <w:iCs/>
    </w:rPr>
  </w:style>
  <w:style w:type="character" w:styleId="IntenseEmphasis">
    <w:name w:val="Intense Emphasis"/>
    <w:uiPriority w:val="21"/>
    <w:qFormat/>
    <w:rsid w:val="00365DD0"/>
    <w:rPr>
      <w:b/>
      <w:bCs/>
      <w:i/>
      <w:iCs/>
    </w:rPr>
  </w:style>
  <w:style w:type="character" w:styleId="SubtleReference">
    <w:name w:val="Subtle Reference"/>
    <w:basedOn w:val="DefaultParagraphFont"/>
    <w:uiPriority w:val="31"/>
    <w:qFormat/>
    <w:rsid w:val="00365DD0"/>
    <w:rPr>
      <w:smallCaps/>
    </w:rPr>
  </w:style>
  <w:style w:type="character" w:styleId="IntenseReference">
    <w:name w:val="Intense Reference"/>
    <w:uiPriority w:val="32"/>
    <w:qFormat/>
    <w:rsid w:val="00365DD0"/>
    <w:rPr>
      <w:b/>
      <w:bCs/>
      <w:smallCaps/>
    </w:rPr>
  </w:style>
  <w:style w:type="character" w:styleId="BookTitle">
    <w:name w:val="Book Title"/>
    <w:basedOn w:val="DefaultParagraphFont"/>
    <w:uiPriority w:val="33"/>
    <w:qFormat/>
    <w:rsid w:val="00365DD0"/>
    <w:rPr>
      <w:i/>
      <w:iCs/>
      <w:smallCaps/>
      <w:spacing w:val="5"/>
    </w:rPr>
  </w:style>
  <w:style w:type="paragraph" w:styleId="TOCHeading">
    <w:name w:val="TOC Heading"/>
    <w:basedOn w:val="Heading1"/>
    <w:next w:val="Normal"/>
    <w:uiPriority w:val="39"/>
    <w:semiHidden/>
    <w:unhideWhenUsed/>
    <w:qFormat/>
    <w:rsid w:val="00365DD0"/>
    <w:pPr>
      <w:outlineLvl w:val="9"/>
    </w:pPr>
    <w:rPr>
      <w:lang w:bidi="en-US"/>
    </w:rPr>
  </w:style>
  <w:style w:type="paragraph" w:customStyle="1" w:styleId="EndNoteBibliographyTitle">
    <w:name w:val="EndNote Bibliography Title"/>
    <w:basedOn w:val="Normal"/>
    <w:link w:val="EndNoteBibliographyTitleChar"/>
    <w:rsid w:val="003D2227"/>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3D2227"/>
    <w:rPr>
      <w:rFonts w:ascii="Cambria" w:hAnsi="Cambria"/>
      <w:noProof/>
    </w:rPr>
  </w:style>
  <w:style w:type="paragraph" w:customStyle="1" w:styleId="EndNoteBibliography">
    <w:name w:val="EndNote Bibliography"/>
    <w:basedOn w:val="Normal"/>
    <w:link w:val="EndNoteBibliographyChar"/>
    <w:rsid w:val="003D2227"/>
    <w:pPr>
      <w:spacing w:line="240" w:lineRule="auto"/>
    </w:pPr>
    <w:rPr>
      <w:rFonts w:ascii="Cambria" w:hAnsi="Cambria"/>
      <w:noProof/>
    </w:rPr>
  </w:style>
  <w:style w:type="character" w:customStyle="1" w:styleId="EndNoteBibliographyChar">
    <w:name w:val="EndNote Bibliography Char"/>
    <w:basedOn w:val="DefaultParagraphFont"/>
    <w:link w:val="EndNoteBibliography"/>
    <w:rsid w:val="003D2227"/>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48588">
      <w:bodyDiv w:val="1"/>
      <w:marLeft w:val="0"/>
      <w:marRight w:val="0"/>
      <w:marTop w:val="0"/>
      <w:marBottom w:val="0"/>
      <w:divBdr>
        <w:top w:val="none" w:sz="0" w:space="0" w:color="auto"/>
        <w:left w:val="none" w:sz="0" w:space="0" w:color="auto"/>
        <w:bottom w:val="none" w:sz="0" w:space="0" w:color="auto"/>
        <w:right w:val="none" w:sz="0" w:space="0" w:color="auto"/>
      </w:divBdr>
    </w:div>
    <w:div w:id="624695834">
      <w:bodyDiv w:val="1"/>
      <w:marLeft w:val="0"/>
      <w:marRight w:val="0"/>
      <w:marTop w:val="0"/>
      <w:marBottom w:val="0"/>
      <w:divBdr>
        <w:top w:val="none" w:sz="0" w:space="0" w:color="auto"/>
        <w:left w:val="none" w:sz="0" w:space="0" w:color="auto"/>
        <w:bottom w:val="none" w:sz="0" w:space="0" w:color="auto"/>
        <w:right w:val="none" w:sz="0" w:space="0" w:color="auto"/>
      </w:divBdr>
    </w:div>
    <w:div w:id="1331524479">
      <w:bodyDiv w:val="1"/>
      <w:marLeft w:val="0"/>
      <w:marRight w:val="0"/>
      <w:marTop w:val="0"/>
      <w:marBottom w:val="0"/>
      <w:divBdr>
        <w:top w:val="none" w:sz="0" w:space="0" w:color="auto"/>
        <w:left w:val="none" w:sz="0" w:space="0" w:color="auto"/>
        <w:bottom w:val="none" w:sz="0" w:space="0" w:color="auto"/>
        <w:right w:val="none" w:sz="0" w:space="0" w:color="auto"/>
      </w:divBdr>
    </w:div>
    <w:div w:id="1423800497">
      <w:bodyDiv w:val="1"/>
      <w:marLeft w:val="0"/>
      <w:marRight w:val="0"/>
      <w:marTop w:val="0"/>
      <w:marBottom w:val="0"/>
      <w:divBdr>
        <w:top w:val="none" w:sz="0" w:space="0" w:color="auto"/>
        <w:left w:val="none" w:sz="0" w:space="0" w:color="auto"/>
        <w:bottom w:val="none" w:sz="0" w:space="0" w:color="auto"/>
        <w:right w:val="none" w:sz="0" w:space="0" w:color="auto"/>
      </w:divBdr>
    </w:div>
    <w:div w:id="1706908548">
      <w:bodyDiv w:val="1"/>
      <w:marLeft w:val="0"/>
      <w:marRight w:val="0"/>
      <w:marTop w:val="0"/>
      <w:marBottom w:val="0"/>
      <w:divBdr>
        <w:top w:val="none" w:sz="0" w:space="0" w:color="auto"/>
        <w:left w:val="none" w:sz="0" w:space="0" w:color="auto"/>
        <w:bottom w:val="none" w:sz="0" w:space="0" w:color="auto"/>
        <w:right w:val="none" w:sz="0" w:space="0" w:color="auto"/>
      </w:divBdr>
    </w:div>
    <w:div w:id="1778479732">
      <w:bodyDiv w:val="1"/>
      <w:marLeft w:val="0"/>
      <w:marRight w:val="0"/>
      <w:marTop w:val="0"/>
      <w:marBottom w:val="0"/>
      <w:divBdr>
        <w:top w:val="none" w:sz="0" w:space="0" w:color="auto"/>
        <w:left w:val="none" w:sz="0" w:space="0" w:color="auto"/>
        <w:bottom w:val="none" w:sz="0" w:space="0" w:color="auto"/>
        <w:right w:val="none" w:sz="0" w:space="0" w:color="auto"/>
      </w:divBdr>
    </w:div>
    <w:div w:id="1921672332">
      <w:bodyDiv w:val="1"/>
      <w:marLeft w:val="0"/>
      <w:marRight w:val="0"/>
      <w:marTop w:val="0"/>
      <w:marBottom w:val="0"/>
      <w:divBdr>
        <w:top w:val="none" w:sz="0" w:space="0" w:color="auto"/>
        <w:left w:val="none" w:sz="0" w:space="0" w:color="auto"/>
        <w:bottom w:val="none" w:sz="0" w:space="0" w:color="auto"/>
        <w:right w:val="none" w:sz="0" w:space="0" w:color="auto"/>
      </w:divBdr>
    </w:div>
    <w:div w:id="19801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utig2.ig.utexas.edu\flemings\paradigm\pathfinder\reports\331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tig2.ig.utexas.edu\flemings\paradigm\pathfinder\reports\331_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tig2.ig.utexas.edu\flemings\paradigm\pathfinder\reports\331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VEL_VS_DEPTH</a:t>
            </a:r>
          </a:p>
        </c:rich>
      </c:tx>
      <c:overlay val="0"/>
    </c:title>
    <c:autoTitleDeleted val="0"/>
    <c:plotArea>
      <c:layout/>
      <c:scatterChart>
        <c:scatterStyle val="lineMarker"/>
        <c:varyColors val="0"/>
        <c:ser>
          <c:idx val="0"/>
          <c:order val="0"/>
          <c:tx>
            <c:v>VEL_VS_DEPTH</c:v>
          </c:tx>
          <c:spPr>
            <a:ln w="28575">
              <a:noFill/>
            </a:ln>
          </c:spPr>
          <c:xVal>
            <c:numRef>
              <c:f>'331_1'!$E$3:$E$45</c:f>
              <c:numCache>
                <c:formatCode>General</c:formatCode>
                <c:ptCount val="43"/>
                <c:pt idx="0">
                  <c:v>5093.0941208886634</c:v>
                </c:pt>
                <c:pt idx="1">
                  <c:v>5116.7200596404891</c:v>
                </c:pt>
                <c:pt idx="2">
                  <c:v>5201.4035467330505</c:v>
                </c:pt>
                <c:pt idx="3">
                  <c:v>5155.6330962773236</c:v>
                </c:pt>
                <c:pt idx="4">
                  <c:v>5183.8316291486854</c:v>
                </c:pt>
                <c:pt idx="5">
                  <c:v>5666.8814414732988</c:v>
                </c:pt>
                <c:pt idx="6">
                  <c:v>5666.0401914894946</c:v>
                </c:pt>
                <c:pt idx="7">
                  <c:v>5586.2707341421137</c:v>
                </c:pt>
                <c:pt idx="8">
                  <c:v>5806.0950062938073</c:v>
                </c:pt>
                <c:pt idx="9">
                  <c:v>5709.8124840482114</c:v>
                </c:pt>
                <c:pt idx="10">
                  <c:v>5503.9287043091363</c:v>
                </c:pt>
                <c:pt idx="11">
                  <c:v>6279.2929013849607</c:v>
                </c:pt>
                <c:pt idx="12">
                  <c:v>5788.541119770126</c:v>
                </c:pt>
                <c:pt idx="13">
                  <c:v>5742.7401714437647</c:v>
                </c:pt>
                <c:pt idx="14">
                  <c:v>5758.4248634965379</c:v>
                </c:pt>
                <c:pt idx="15">
                  <c:v>6132.3734124818338</c:v>
                </c:pt>
                <c:pt idx="16">
                  <c:v>6251.0704958224096</c:v>
                </c:pt>
                <c:pt idx="17">
                  <c:v>6448.3679180799345</c:v>
                </c:pt>
                <c:pt idx="18">
                  <c:v>6348.5090209138934</c:v>
                </c:pt>
                <c:pt idx="19">
                  <c:v>6491.2050662557303</c:v>
                </c:pt>
                <c:pt idx="20">
                  <c:v>6474.2351338612852</c:v>
                </c:pt>
                <c:pt idx="21">
                  <c:v>6376.3554537605833</c:v>
                </c:pt>
                <c:pt idx="22">
                  <c:v>6334.9597286610051</c:v>
                </c:pt>
                <c:pt idx="23">
                  <c:v>6270.9174289489383</c:v>
                </c:pt>
                <c:pt idx="24">
                  <c:v>6463.255102093578</c:v>
                </c:pt>
                <c:pt idx="25">
                  <c:v>6518.9770681943673</c:v>
                </c:pt>
                <c:pt idx="26">
                  <c:v>6695.6857687885968</c:v>
                </c:pt>
                <c:pt idx="27">
                  <c:v>6657.3641098837898</c:v>
                </c:pt>
                <c:pt idx="28">
                  <c:v>6715.6551323051217</c:v>
                </c:pt>
                <c:pt idx="29">
                  <c:v>7336.6333510146196</c:v>
                </c:pt>
                <c:pt idx="30">
                  <c:v>7137.3868456532955</c:v>
                </c:pt>
                <c:pt idx="31">
                  <c:v>7013.9556675918075</c:v>
                </c:pt>
                <c:pt idx="32">
                  <c:v>7959.5464013696783</c:v>
                </c:pt>
                <c:pt idx="33">
                  <c:v>7852.4185056376446</c:v>
                </c:pt>
                <c:pt idx="34">
                  <c:v>7991.9632817238989</c:v>
                </c:pt>
                <c:pt idx="35">
                  <c:v>8149.7201386104398</c:v>
                </c:pt>
                <c:pt idx="36">
                  <c:v>8294.6732437895716</c:v>
                </c:pt>
                <c:pt idx="37">
                  <c:v>8208.7787963960163</c:v>
                </c:pt>
                <c:pt idx="38">
                  <c:v>8854.6038627323906</c:v>
                </c:pt>
                <c:pt idx="39">
                  <c:v>9067.9918025354109</c:v>
                </c:pt>
                <c:pt idx="40">
                  <c:v>8776.7108222988136</c:v>
                </c:pt>
                <c:pt idx="41">
                  <c:v>8812.6768594087225</c:v>
                </c:pt>
                <c:pt idx="42">
                  <c:v>8266.5670269787697</c:v>
                </c:pt>
              </c:numCache>
            </c:numRef>
          </c:xVal>
          <c:yVal>
            <c:numRef>
              <c:f>'331_1'!$A$3:$A$45</c:f>
              <c:numCache>
                <c:formatCode>General</c:formatCode>
                <c:ptCount val="43"/>
                <c:pt idx="0">
                  <c:v>563.5</c:v>
                </c:pt>
                <c:pt idx="1">
                  <c:v>591.5</c:v>
                </c:pt>
                <c:pt idx="2">
                  <c:v>731</c:v>
                </c:pt>
                <c:pt idx="3">
                  <c:v>758</c:v>
                </c:pt>
                <c:pt idx="4">
                  <c:v>774.5</c:v>
                </c:pt>
                <c:pt idx="5">
                  <c:v>992.5</c:v>
                </c:pt>
                <c:pt idx="6">
                  <c:v>1015.5</c:v>
                </c:pt>
                <c:pt idx="7">
                  <c:v>1106</c:v>
                </c:pt>
                <c:pt idx="8">
                  <c:v>1162</c:v>
                </c:pt>
                <c:pt idx="9">
                  <c:v>1211</c:v>
                </c:pt>
                <c:pt idx="10">
                  <c:v>1251</c:v>
                </c:pt>
                <c:pt idx="11">
                  <c:v>1278</c:v>
                </c:pt>
                <c:pt idx="12">
                  <c:v>1303</c:v>
                </c:pt>
                <c:pt idx="13">
                  <c:v>1331</c:v>
                </c:pt>
                <c:pt idx="14">
                  <c:v>1341.5</c:v>
                </c:pt>
                <c:pt idx="15">
                  <c:v>1504</c:v>
                </c:pt>
                <c:pt idx="16">
                  <c:v>1688.5</c:v>
                </c:pt>
                <c:pt idx="17">
                  <c:v>1714.5</c:v>
                </c:pt>
                <c:pt idx="18">
                  <c:v>2116.5</c:v>
                </c:pt>
                <c:pt idx="19">
                  <c:v>2154</c:v>
                </c:pt>
                <c:pt idx="20">
                  <c:v>2195.5</c:v>
                </c:pt>
                <c:pt idx="21">
                  <c:v>2293.5</c:v>
                </c:pt>
                <c:pt idx="22">
                  <c:v>2317.5</c:v>
                </c:pt>
                <c:pt idx="23">
                  <c:v>2336</c:v>
                </c:pt>
                <c:pt idx="24">
                  <c:v>2395.5</c:v>
                </c:pt>
                <c:pt idx="25">
                  <c:v>2420.5</c:v>
                </c:pt>
                <c:pt idx="26">
                  <c:v>2773.5</c:v>
                </c:pt>
                <c:pt idx="27">
                  <c:v>2814.5</c:v>
                </c:pt>
                <c:pt idx="28">
                  <c:v>2836</c:v>
                </c:pt>
                <c:pt idx="29">
                  <c:v>3669.5</c:v>
                </c:pt>
                <c:pt idx="30">
                  <c:v>4318.5</c:v>
                </c:pt>
                <c:pt idx="31">
                  <c:v>4345.5</c:v>
                </c:pt>
                <c:pt idx="32">
                  <c:v>5379</c:v>
                </c:pt>
                <c:pt idx="33">
                  <c:v>5410</c:v>
                </c:pt>
                <c:pt idx="34">
                  <c:v>6014.5</c:v>
                </c:pt>
                <c:pt idx="35">
                  <c:v>7158</c:v>
                </c:pt>
                <c:pt idx="36">
                  <c:v>7173.5</c:v>
                </c:pt>
                <c:pt idx="37">
                  <c:v>7191.5</c:v>
                </c:pt>
                <c:pt idx="38">
                  <c:v>7358</c:v>
                </c:pt>
                <c:pt idx="39">
                  <c:v>7380</c:v>
                </c:pt>
                <c:pt idx="40">
                  <c:v>7409</c:v>
                </c:pt>
                <c:pt idx="41">
                  <c:v>7431</c:v>
                </c:pt>
                <c:pt idx="42">
                  <c:v>7759</c:v>
                </c:pt>
              </c:numCache>
            </c:numRef>
          </c:yVal>
          <c:smooth val="0"/>
          <c:extLst>
            <c:ext xmlns:c16="http://schemas.microsoft.com/office/drawing/2014/chart" uri="{C3380CC4-5D6E-409C-BE32-E72D297353CC}">
              <c16:uniqueId val="{00000000-1A11-4D3D-B878-20B4FB2654BD}"/>
            </c:ext>
          </c:extLst>
        </c:ser>
        <c:dLbls>
          <c:showLegendKey val="0"/>
          <c:showVal val="0"/>
          <c:showCatName val="0"/>
          <c:showSerName val="0"/>
          <c:showPercent val="0"/>
          <c:showBubbleSize val="0"/>
        </c:dLbls>
        <c:axId val="322914848"/>
        <c:axId val="322915408"/>
      </c:scatterChart>
      <c:valAx>
        <c:axId val="322914848"/>
        <c:scaling>
          <c:orientation val="minMax"/>
          <c:min val="4000"/>
        </c:scaling>
        <c:delete val="0"/>
        <c:axPos val="t"/>
        <c:title>
          <c:tx>
            <c:rich>
              <a:bodyPr/>
              <a:lstStyle/>
              <a:p>
                <a:pPr>
                  <a:defRPr/>
                </a:pPr>
                <a:r>
                  <a:rPr lang="en-US"/>
                  <a:t>Vel (ft/s)</a:t>
                </a:r>
              </a:p>
            </c:rich>
          </c:tx>
          <c:overlay val="0"/>
        </c:title>
        <c:numFmt formatCode="General" sourceLinked="1"/>
        <c:majorTickMark val="none"/>
        <c:minorTickMark val="none"/>
        <c:tickLblPos val="nextTo"/>
        <c:crossAx val="322915408"/>
        <c:crosses val="autoZero"/>
        <c:crossBetween val="midCat"/>
      </c:valAx>
      <c:valAx>
        <c:axId val="322915408"/>
        <c:scaling>
          <c:orientation val="maxMin"/>
        </c:scaling>
        <c:delete val="0"/>
        <c:axPos val="l"/>
        <c:majorGridlines/>
        <c:title>
          <c:tx>
            <c:rich>
              <a:bodyPr/>
              <a:lstStyle/>
              <a:p>
                <a:pPr>
                  <a:defRPr/>
                </a:pPr>
                <a:r>
                  <a:rPr lang="en-US"/>
                  <a:t>TVDSS (ft)</a:t>
                </a:r>
              </a:p>
            </c:rich>
          </c:tx>
          <c:overlay val="0"/>
        </c:title>
        <c:numFmt formatCode="General" sourceLinked="1"/>
        <c:majorTickMark val="none"/>
        <c:minorTickMark val="none"/>
        <c:tickLblPos val="nextTo"/>
        <c:crossAx val="322914848"/>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phi_dt vs. sigmavh</c:v>
          </c:tx>
          <c:spPr>
            <a:ln w="28575">
              <a:noFill/>
            </a:ln>
          </c:spPr>
          <c:trendline>
            <c:trendlineType val="exp"/>
            <c:dispRSqr val="0"/>
            <c:dispEq val="1"/>
            <c:trendlineLbl>
              <c:layout>
                <c:manualLayout>
                  <c:x val="-0.21462358651252417"/>
                  <c:y val="0.28481554389034702"/>
                </c:manualLayout>
              </c:layout>
              <c:tx>
                <c:rich>
                  <a:bodyPr/>
                  <a:lstStyle/>
                  <a:p>
                    <a:pPr>
                      <a:defRPr/>
                    </a:pPr>
                    <a:r>
                      <a:rPr lang="en-US" sz="1400" baseline="0"/>
                      <a:t>y = 0.384480e</a:t>
                    </a:r>
                    <a:r>
                      <a:rPr lang="en-US" sz="1400" baseline="30000"/>
                      <a:t>-0.000198x</a:t>
                    </a:r>
                    <a:endParaRPr lang="en-US" sz="1400"/>
                  </a:p>
                </c:rich>
              </c:tx>
              <c:numFmt formatCode="#,##0.000000" sourceLinked="0"/>
              <c:spPr>
                <a:solidFill>
                  <a:schemeClr val="bg1"/>
                </a:solidFill>
                <a:ln w="12700">
                  <a:solidFill>
                    <a:schemeClr val="tx1"/>
                  </a:solidFill>
                </a:ln>
              </c:spPr>
            </c:trendlineLbl>
          </c:trendline>
          <c:xVal>
            <c:numRef>
              <c:f>'331_1'!$G$3:$G$33</c:f>
              <c:numCache>
                <c:formatCode>General</c:formatCode>
                <c:ptCount val="31"/>
                <c:pt idx="0">
                  <c:v>131.80000000000001</c:v>
                </c:pt>
                <c:pt idx="1">
                  <c:v>143.61900000000003</c:v>
                </c:pt>
                <c:pt idx="2">
                  <c:v>202.86100000000005</c:v>
                </c:pt>
                <c:pt idx="3">
                  <c:v>214.39699999999999</c:v>
                </c:pt>
                <c:pt idx="4">
                  <c:v>221.45700000000005</c:v>
                </c:pt>
                <c:pt idx="5">
                  <c:v>315.40000000000003</c:v>
                </c:pt>
                <c:pt idx="6">
                  <c:v>325.40600000000001</c:v>
                </c:pt>
                <c:pt idx="7">
                  <c:v>364.92900000000009</c:v>
                </c:pt>
                <c:pt idx="8">
                  <c:v>389.49299999999994</c:v>
                </c:pt>
                <c:pt idx="9">
                  <c:v>411.16500000000008</c:v>
                </c:pt>
                <c:pt idx="10">
                  <c:v>428.73400000000004</c:v>
                </c:pt>
                <c:pt idx="11">
                  <c:v>440.76599999999996</c:v>
                </c:pt>
                <c:pt idx="12">
                  <c:v>451.74800000000005</c:v>
                </c:pt>
                <c:pt idx="13">
                  <c:v>464.14099999999996</c:v>
                </c:pt>
                <c:pt idx="14">
                  <c:v>468.81100000000004</c:v>
                </c:pt>
                <c:pt idx="15">
                  <c:v>541.60799999999995</c:v>
                </c:pt>
                <c:pt idx="16">
                  <c:v>625.02199999999993</c:v>
                </c:pt>
                <c:pt idx="17">
                  <c:v>637.40300000000002</c:v>
                </c:pt>
                <c:pt idx="18">
                  <c:v>822.26099999999997</c:v>
                </c:pt>
                <c:pt idx="19">
                  <c:v>839.78</c:v>
                </c:pt>
                <c:pt idx="20">
                  <c:v>859.18400000000008</c:v>
                </c:pt>
                <c:pt idx="21">
                  <c:v>904.69899999999984</c:v>
                </c:pt>
                <c:pt idx="22">
                  <c:v>916.03899999999999</c:v>
                </c:pt>
                <c:pt idx="23">
                  <c:v>924.68100000000004</c:v>
                </c:pt>
                <c:pt idx="24">
                  <c:v>952.57600000000025</c:v>
                </c:pt>
                <c:pt idx="25">
                  <c:v>964.31700000000001</c:v>
                </c:pt>
                <c:pt idx="26">
                  <c:v>1133.2189999999998</c:v>
                </c:pt>
                <c:pt idx="27">
                  <c:v>1153.011</c:v>
                </c:pt>
                <c:pt idx="28">
                  <c:v>1163.355</c:v>
                </c:pt>
                <c:pt idx="29">
                  <c:v>1561.181</c:v>
                </c:pt>
                <c:pt idx="30">
                  <c:v>1865.1620000000003</c:v>
                </c:pt>
              </c:numCache>
            </c:numRef>
          </c:xVal>
          <c:yVal>
            <c:numRef>
              <c:f>'331_1'!$H$3:$H$33</c:f>
              <c:numCache>
                <c:formatCode>General</c:formatCode>
                <c:ptCount val="31"/>
                <c:pt idx="0">
                  <c:v>0.38764926114338483</c:v>
                </c:pt>
                <c:pt idx="1">
                  <c:v>0.38635382171083243</c:v>
                </c:pt>
                <c:pt idx="2">
                  <c:v>0.38173702990309466</c:v>
                </c:pt>
                <c:pt idx="3">
                  <c:v>0.38422723737600029</c:v>
                </c:pt>
                <c:pt idx="4">
                  <c:v>0.38269164183197435</c:v>
                </c:pt>
                <c:pt idx="5">
                  <c:v>0.35706021134993626</c:v>
                </c:pt>
                <c:pt idx="6">
                  <c:v>0.35710379510523316</c:v>
                </c:pt>
                <c:pt idx="7">
                  <c:v>0.36125260781019208</c:v>
                </c:pt>
                <c:pt idx="8">
                  <c:v>0.34989561760159793</c:v>
                </c:pt>
                <c:pt idx="9">
                  <c:v>0.35484067552489573</c:v>
                </c:pt>
                <c:pt idx="10">
                  <c:v>0.36556912654711349</c:v>
                </c:pt>
                <c:pt idx="11">
                  <c:v>0.32621652483918828</c:v>
                </c:pt>
                <c:pt idx="12">
                  <c:v>0.35079384287755688</c:v>
                </c:pt>
                <c:pt idx="13">
                  <c:v>0.35314445123376459</c:v>
                </c:pt>
                <c:pt idx="14">
                  <c:v>0.35233833421642591</c:v>
                </c:pt>
                <c:pt idx="15">
                  <c:v>0.33346139208434344</c:v>
                </c:pt>
                <c:pt idx="16">
                  <c:v>0.32760101781084894</c:v>
                </c:pt>
                <c:pt idx="17">
                  <c:v>0.31799220893076408</c:v>
                </c:pt>
                <c:pt idx="18">
                  <c:v>0.32283527305125348</c:v>
                </c:pt>
                <c:pt idx="19">
                  <c:v>0.31592714221742324</c:v>
                </c:pt>
                <c:pt idx="20">
                  <c:v>0.31674432988167167</c:v>
                </c:pt>
                <c:pt idx="21">
                  <c:v>0.32148060981181892</c:v>
                </c:pt>
                <c:pt idx="22">
                  <c:v>0.32349558189362293</c:v>
                </c:pt>
                <c:pt idx="23">
                  <c:v>0.32662704290562228</c:v>
                </c:pt>
                <c:pt idx="24">
                  <c:v>0.31727369399740935</c:v>
                </c:pt>
                <c:pt idx="25">
                  <c:v>0.31459228106344239</c:v>
                </c:pt>
                <c:pt idx="26">
                  <c:v>0.30617024161442274</c:v>
                </c:pt>
                <c:pt idx="27">
                  <c:v>0.30798632099759438</c:v>
                </c:pt>
                <c:pt idx="28">
                  <c:v>0.3052261232226362</c:v>
                </c:pt>
                <c:pt idx="29">
                  <c:v>0.27659488264329424</c:v>
                </c:pt>
                <c:pt idx="30">
                  <c:v>0.28563281840329191</c:v>
                </c:pt>
              </c:numCache>
            </c:numRef>
          </c:yVal>
          <c:smooth val="0"/>
          <c:extLst>
            <c:ext xmlns:c16="http://schemas.microsoft.com/office/drawing/2014/chart" uri="{C3380CC4-5D6E-409C-BE32-E72D297353CC}">
              <c16:uniqueId val="{00000001-EC03-4380-9463-2F31359D8A1B}"/>
            </c:ext>
          </c:extLst>
        </c:ser>
        <c:dLbls>
          <c:showLegendKey val="0"/>
          <c:showVal val="0"/>
          <c:showCatName val="0"/>
          <c:showSerName val="0"/>
          <c:showPercent val="0"/>
          <c:showBubbleSize val="0"/>
        </c:dLbls>
        <c:axId val="322917648"/>
        <c:axId val="322918208"/>
      </c:scatterChart>
      <c:valAx>
        <c:axId val="322917648"/>
        <c:scaling>
          <c:orientation val="minMax"/>
        </c:scaling>
        <c:delete val="0"/>
        <c:axPos val="b"/>
        <c:majorGridlines/>
        <c:minorGridlines/>
        <c:title>
          <c:tx>
            <c:rich>
              <a:bodyPr/>
              <a:lstStyle/>
              <a:p>
                <a:pPr>
                  <a:defRPr/>
                </a:pPr>
                <a:r>
                  <a:rPr lang="en-US" sz="1200">
                    <a:latin typeface="Symbol" pitchFamily="18" charset="2"/>
                  </a:rPr>
                  <a:t>s</a:t>
                </a:r>
                <a:r>
                  <a:rPr lang="en-US" baseline="-25000"/>
                  <a:t>vh</a:t>
                </a:r>
                <a:r>
                  <a:rPr lang="en-US"/>
                  <a:t>' (PSI)</a:t>
                </a:r>
              </a:p>
            </c:rich>
          </c:tx>
          <c:overlay val="0"/>
        </c:title>
        <c:numFmt formatCode="General" sourceLinked="1"/>
        <c:majorTickMark val="out"/>
        <c:minorTickMark val="none"/>
        <c:tickLblPos val="nextTo"/>
        <c:crossAx val="322918208"/>
        <c:crosses val="autoZero"/>
        <c:crossBetween val="midCat"/>
      </c:valAx>
      <c:valAx>
        <c:axId val="322918208"/>
        <c:scaling>
          <c:orientation val="minMax"/>
        </c:scaling>
        <c:delete val="0"/>
        <c:axPos val="l"/>
        <c:majorGridlines/>
        <c:minorGridlines/>
        <c:title>
          <c:tx>
            <c:rich>
              <a:bodyPr/>
              <a:lstStyle/>
              <a:p>
                <a:pPr>
                  <a:defRPr/>
                </a:pPr>
                <a:r>
                  <a:rPr lang="en-US"/>
                  <a:t>n_dt)</a:t>
                </a:r>
              </a:p>
            </c:rich>
          </c:tx>
          <c:overlay val="0"/>
        </c:title>
        <c:numFmt formatCode="General" sourceLinked="1"/>
        <c:majorTickMark val="out"/>
        <c:minorTickMark val="none"/>
        <c:tickLblPos val="nextTo"/>
        <c:crossAx val="322917648"/>
        <c:crosses val="autoZero"/>
        <c:crossBetween val="midCat"/>
      </c:valAx>
    </c:plotArea>
    <c:legend>
      <c:legendPos val="r"/>
      <c:layout>
        <c:manualLayout>
          <c:xMode val="edge"/>
          <c:yMode val="edge"/>
          <c:x val="0.70951821167135798"/>
          <c:y val="0.36034339457567804"/>
          <c:w val="0.29048178832864208"/>
          <c:h val="0.27931321084864391"/>
        </c:manualLayout>
      </c:layout>
      <c:overlay val="1"/>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vel_vs_stress</c:v>
          </c:tx>
          <c:spPr>
            <a:ln w="28575">
              <a:noFill/>
            </a:ln>
          </c:spPr>
          <c:trendline>
            <c:trendlineType val="power"/>
            <c:dispRSqr val="0"/>
            <c:dispEq val="1"/>
            <c:trendlineLbl>
              <c:tx>
                <c:rich>
                  <a:bodyPr/>
                  <a:lstStyle/>
                  <a:p>
                    <a:pPr>
                      <a:defRPr/>
                    </a:pPr>
                    <a:r>
                      <a:rPr lang="en-US" sz="1600" baseline="0"/>
                      <a:t>y = 0.8557x</a:t>
                    </a:r>
                    <a:r>
                      <a:rPr lang="en-US" sz="1600" baseline="30000"/>
                      <a:t>1.0833</a:t>
                    </a:r>
                    <a:endParaRPr lang="en-US"/>
                  </a:p>
                </c:rich>
              </c:tx>
              <c:numFmt formatCode="General" sourceLinked="0"/>
              <c:spPr>
                <a:solidFill>
                  <a:schemeClr val="bg1"/>
                </a:solidFill>
                <a:ln w="3175" cmpd="sng">
                  <a:solidFill>
                    <a:schemeClr val="accent1"/>
                  </a:solidFill>
                </a:ln>
              </c:spPr>
            </c:trendlineLbl>
          </c:trendline>
          <c:xVal>
            <c:numRef>
              <c:f>'331_1'!$G$3:$G$33</c:f>
              <c:numCache>
                <c:formatCode>General</c:formatCode>
                <c:ptCount val="31"/>
                <c:pt idx="0">
                  <c:v>131.80000000000001</c:v>
                </c:pt>
                <c:pt idx="1">
                  <c:v>143.61900000000003</c:v>
                </c:pt>
                <c:pt idx="2">
                  <c:v>202.86100000000005</c:v>
                </c:pt>
                <c:pt idx="3">
                  <c:v>214.39699999999999</c:v>
                </c:pt>
                <c:pt idx="4">
                  <c:v>221.45700000000005</c:v>
                </c:pt>
                <c:pt idx="5">
                  <c:v>315.40000000000003</c:v>
                </c:pt>
                <c:pt idx="6">
                  <c:v>325.40600000000001</c:v>
                </c:pt>
                <c:pt idx="7">
                  <c:v>364.92900000000009</c:v>
                </c:pt>
                <c:pt idx="8">
                  <c:v>389.49299999999994</c:v>
                </c:pt>
                <c:pt idx="9">
                  <c:v>411.16500000000008</c:v>
                </c:pt>
                <c:pt idx="10">
                  <c:v>428.73400000000004</c:v>
                </c:pt>
                <c:pt idx="11">
                  <c:v>440.76599999999996</c:v>
                </c:pt>
                <c:pt idx="12">
                  <c:v>451.74800000000005</c:v>
                </c:pt>
                <c:pt idx="13">
                  <c:v>464.14099999999996</c:v>
                </c:pt>
                <c:pt idx="14">
                  <c:v>468.81100000000004</c:v>
                </c:pt>
                <c:pt idx="15">
                  <c:v>541.60799999999995</c:v>
                </c:pt>
                <c:pt idx="16">
                  <c:v>625.02199999999993</c:v>
                </c:pt>
                <c:pt idx="17">
                  <c:v>637.40300000000002</c:v>
                </c:pt>
                <c:pt idx="18">
                  <c:v>822.26099999999997</c:v>
                </c:pt>
                <c:pt idx="19">
                  <c:v>839.78</c:v>
                </c:pt>
                <c:pt idx="20">
                  <c:v>859.18400000000008</c:v>
                </c:pt>
                <c:pt idx="21">
                  <c:v>904.69899999999984</c:v>
                </c:pt>
                <c:pt idx="22">
                  <c:v>916.03899999999999</c:v>
                </c:pt>
                <c:pt idx="23">
                  <c:v>924.68100000000004</c:v>
                </c:pt>
                <c:pt idx="24">
                  <c:v>952.57600000000025</c:v>
                </c:pt>
                <c:pt idx="25">
                  <c:v>964.31700000000001</c:v>
                </c:pt>
                <c:pt idx="26">
                  <c:v>1133.2189999999998</c:v>
                </c:pt>
                <c:pt idx="27">
                  <c:v>1153.011</c:v>
                </c:pt>
                <c:pt idx="28">
                  <c:v>1163.355</c:v>
                </c:pt>
                <c:pt idx="29">
                  <c:v>1561.181</c:v>
                </c:pt>
                <c:pt idx="30">
                  <c:v>1865.1620000000003</c:v>
                </c:pt>
              </c:numCache>
            </c:numRef>
          </c:xVal>
          <c:yVal>
            <c:numRef>
              <c:f>'331_1'!$F$3:$F$33</c:f>
              <c:numCache>
                <c:formatCode>General</c:formatCode>
                <c:ptCount val="31"/>
                <c:pt idx="0">
                  <c:v>93.094120888663383</c:v>
                </c:pt>
                <c:pt idx="1">
                  <c:v>116.72005964048913</c:v>
                </c:pt>
                <c:pt idx="2">
                  <c:v>201.40354673305046</c:v>
                </c:pt>
                <c:pt idx="3">
                  <c:v>155.6330962773236</c:v>
                </c:pt>
                <c:pt idx="4">
                  <c:v>183.83162914868535</c:v>
                </c:pt>
                <c:pt idx="5">
                  <c:v>666.88144147329876</c:v>
                </c:pt>
                <c:pt idx="6">
                  <c:v>666.04019148949465</c:v>
                </c:pt>
                <c:pt idx="7">
                  <c:v>586.27073414211372</c:v>
                </c:pt>
                <c:pt idx="8">
                  <c:v>806.09500629380727</c:v>
                </c:pt>
                <c:pt idx="9">
                  <c:v>709.81248404821145</c:v>
                </c:pt>
                <c:pt idx="10">
                  <c:v>503.92870430913626</c:v>
                </c:pt>
                <c:pt idx="11">
                  <c:v>1279.2929013849607</c:v>
                </c:pt>
                <c:pt idx="12">
                  <c:v>788.54111977012599</c:v>
                </c:pt>
                <c:pt idx="13">
                  <c:v>742.74017144376467</c:v>
                </c:pt>
                <c:pt idx="14">
                  <c:v>758.42486349653791</c:v>
                </c:pt>
                <c:pt idx="15">
                  <c:v>1132.3734124818338</c:v>
                </c:pt>
                <c:pt idx="16">
                  <c:v>1251.0704958224096</c:v>
                </c:pt>
                <c:pt idx="17">
                  <c:v>1448.3679180799345</c:v>
                </c:pt>
                <c:pt idx="18">
                  <c:v>1348.5090209138934</c:v>
                </c:pt>
                <c:pt idx="19">
                  <c:v>1491.2050662557303</c:v>
                </c:pt>
                <c:pt idx="20">
                  <c:v>1474.2351338612852</c:v>
                </c:pt>
                <c:pt idx="21">
                  <c:v>1376.3554537605833</c:v>
                </c:pt>
                <c:pt idx="22">
                  <c:v>1334.9597286610051</c:v>
                </c:pt>
                <c:pt idx="23">
                  <c:v>1270.9174289489383</c:v>
                </c:pt>
                <c:pt idx="24">
                  <c:v>1463.255102093578</c:v>
                </c:pt>
                <c:pt idx="25">
                  <c:v>1518.9770681943673</c:v>
                </c:pt>
                <c:pt idx="26">
                  <c:v>1695.6857687885968</c:v>
                </c:pt>
                <c:pt idx="27">
                  <c:v>1657.3641098837898</c:v>
                </c:pt>
                <c:pt idx="28">
                  <c:v>1715.6551323051217</c:v>
                </c:pt>
                <c:pt idx="29">
                  <c:v>2336.6333510146196</c:v>
                </c:pt>
                <c:pt idx="30">
                  <c:v>2137.3868456532955</c:v>
                </c:pt>
              </c:numCache>
            </c:numRef>
          </c:yVal>
          <c:smooth val="0"/>
          <c:extLst>
            <c:ext xmlns:c16="http://schemas.microsoft.com/office/drawing/2014/chart" uri="{C3380CC4-5D6E-409C-BE32-E72D297353CC}">
              <c16:uniqueId val="{00000001-B064-4565-9D07-9FEB55585519}"/>
            </c:ext>
          </c:extLst>
        </c:ser>
        <c:dLbls>
          <c:showLegendKey val="0"/>
          <c:showVal val="0"/>
          <c:showCatName val="0"/>
          <c:showSerName val="0"/>
          <c:showPercent val="0"/>
          <c:showBubbleSize val="0"/>
        </c:dLbls>
        <c:axId val="322920448"/>
        <c:axId val="325195664"/>
      </c:scatterChart>
      <c:valAx>
        <c:axId val="322920448"/>
        <c:scaling>
          <c:orientation val="minMax"/>
        </c:scaling>
        <c:delete val="0"/>
        <c:axPos val="b"/>
        <c:majorGridlines/>
        <c:minorGridlines/>
        <c:title>
          <c:tx>
            <c:rich>
              <a:bodyPr/>
              <a:lstStyle/>
              <a:p>
                <a:pPr>
                  <a:defRPr/>
                </a:pPr>
                <a:r>
                  <a:rPr lang="en-US" sz="1200">
                    <a:latin typeface="Symbol" pitchFamily="18" charset="2"/>
                  </a:rPr>
                  <a:t>s</a:t>
                </a:r>
                <a:r>
                  <a:rPr lang="en-US" baseline="-25000"/>
                  <a:t>vh</a:t>
                </a:r>
                <a:r>
                  <a:rPr lang="en-US"/>
                  <a:t>'</a:t>
                </a:r>
              </a:p>
            </c:rich>
          </c:tx>
          <c:overlay val="0"/>
        </c:title>
        <c:numFmt formatCode="General" sourceLinked="1"/>
        <c:majorTickMark val="out"/>
        <c:minorTickMark val="none"/>
        <c:tickLblPos val="nextTo"/>
        <c:crossAx val="325195664"/>
        <c:crosses val="autoZero"/>
        <c:crossBetween val="midCat"/>
      </c:valAx>
      <c:valAx>
        <c:axId val="325195664"/>
        <c:scaling>
          <c:orientation val="minMax"/>
        </c:scaling>
        <c:delete val="0"/>
        <c:axPos val="l"/>
        <c:majorGridlines/>
        <c:minorGridlines/>
        <c:title>
          <c:tx>
            <c:rich>
              <a:bodyPr/>
              <a:lstStyle/>
              <a:p>
                <a:pPr>
                  <a:defRPr/>
                </a:pPr>
                <a:r>
                  <a:rPr lang="en-US"/>
                  <a:t>V-5000 (ft/s)</a:t>
                </a:r>
              </a:p>
            </c:rich>
          </c:tx>
          <c:overlay val="0"/>
        </c:title>
        <c:numFmt formatCode="General" sourceLinked="1"/>
        <c:majorTickMark val="out"/>
        <c:minorTickMark val="none"/>
        <c:tickLblPos val="nextTo"/>
        <c:crossAx val="322920448"/>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A4971CF953B4DA641722AC59885C2" ma:contentTypeVersion="0" ma:contentTypeDescription="Create a new document." ma:contentTypeScope="" ma:versionID="b5911e1f9320b0f8bb0122ff599e31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E95E-81A7-43D7-8025-796919999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0064AB-2033-47C1-96D9-6ED4ADB8D41F}">
  <ds:schemaRefs>
    <ds:schemaRef ds:uri="http://schemas.microsoft.com/sharepoint/v3/contenttype/forms"/>
  </ds:schemaRefs>
</ds:datastoreItem>
</file>

<file path=customXml/itemProps3.xml><?xml version="1.0" encoding="utf-8"?>
<ds:datastoreItem xmlns:ds="http://schemas.openxmlformats.org/officeDocument/2006/customXml" ds:itemID="{5F384892-6147-4E21-9E09-5A200BE9E578}">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http://purl.org/dc/dcmitype/"/>
  </ds:schemaRefs>
</ds:datastoreItem>
</file>

<file path=customXml/itemProps4.xml><?xml version="1.0" encoding="utf-8"?>
<ds:datastoreItem xmlns:ds="http://schemas.openxmlformats.org/officeDocument/2006/customXml" ds:itemID="{58D2C7DF-89C5-4891-A559-A6C8D0C6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UTIG</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 Flemings</dc:creator>
  <cp:lastModifiedBy>Flemings, Peter B</cp:lastModifiedBy>
  <cp:revision>4</cp:revision>
  <cp:lastPrinted>2012-08-28T17:40:00Z</cp:lastPrinted>
  <dcterms:created xsi:type="dcterms:W3CDTF">2021-02-27T14:24:00Z</dcterms:created>
  <dcterms:modified xsi:type="dcterms:W3CDTF">2021-02-27T14:31:00Z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0x01010005DA4971CF953B4DA641722AC59885C2</vt:lpwstr>
  </property>
</Properties>
</file>