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4D13" w14:textId="464E44C3" w:rsidR="00675CF9" w:rsidRPr="00FA4B6B" w:rsidRDefault="00E4464A" w:rsidP="00F31790">
      <w:pPr>
        <w:pStyle w:val="Title"/>
      </w:pPr>
      <w:r>
        <w:t>HW-</w:t>
      </w:r>
      <w:r w:rsidR="00A838CA">
        <w:t>3</w:t>
      </w:r>
      <w:r w:rsidR="004502E2">
        <w:t>d</w:t>
      </w:r>
      <w:r w:rsidR="007A24AE" w:rsidRPr="00FA4B6B">
        <w:t xml:space="preserve">: </w:t>
      </w:r>
      <w:r w:rsidR="00A24637" w:rsidRPr="00FA4B6B">
        <w:t>Calculating Least Principal stresses</w:t>
      </w:r>
    </w:p>
    <w:p w14:paraId="7665C91C" w14:textId="77777777" w:rsidR="00496961" w:rsidRPr="00FA4B6B" w:rsidRDefault="002E5779" w:rsidP="00F31790">
      <w:pPr>
        <w:pStyle w:val="Heading1"/>
      </w:pPr>
      <w:r w:rsidRPr="00FA4B6B">
        <w:t>Calculating horizontal stresses from overburden</w:t>
      </w:r>
    </w:p>
    <w:p w14:paraId="39E13713" w14:textId="77777777" w:rsidR="00A24637" w:rsidRDefault="00A24637" w:rsidP="00D17565">
      <w:r>
        <w:t xml:space="preserve">The goal of this exercise is to </w:t>
      </w:r>
      <w:r w:rsidR="00AA63F5">
        <w:t xml:space="preserve">demonstrate the methods most commonly used to </w:t>
      </w:r>
      <w:r>
        <w:t xml:space="preserve">calculate the </w:t>
      </w:r>
      <w:r w:rsidR="00AA63F5">
        <w:t xml:space="preserve">horizontal </w:t>
      </w:r>
      <w:r>
        <w:t>stresses in a basin</w:t>
      </w:r>
      <w:r w:rsidR="00AA63F5">
        <w:t>,</w:t>
      </w:r>
      <w:r>
        <w:t xml:space="preserve"> </w:t>
      </w:r>
      <w:r w:rsidR="00AA63F5">
        <w:t xml:space="preserve">assuming the overburden is known. </w:t>
      </w:r>
      <w:r w:rsidR="00D43FB6">
        <w:t>Most of these</w:t>
      </w:r>
      <w:r w:rsidR="00AA63F5">
        <w:t xml:space="preserve"> methods can be divided into </w:t>
      </w:r>
      <w:r w:rsidR="00D43FB6">
        <w:t>2</w:t>
      </w:r>
      <w:r w:rsidR="00AA63F5">
        <w:t xml:space="preserve"> categories:</w:t>
      </w:r>
    </w:p>
    <w:p w14:paraId="100AB024" w14:textId="77777777" w:rsidR="00A24637" w:rsidRDefault="00A24637" w:rsidP="00D17565">
      <w:r>
        <w:t xml:space="preserve">a) </w:t>
      </w:r>
      <w:r w:rsidR="00EF5DE8">
        <w:t>Use of a c</w:t>
      </w:r>
      <w:r w:rsidR="00AA63F5">
        <w:t>onstant ratio between vertical and horizontal effective stresses</w:t>
      </w:r>
      <w:r>
        <w:t xml:space="preserve"> </w:t>
      </w:r>
    </w:p>
    <w:p w14:paraId="05141F90" w14:textId="77777777" w:rsidR="00A24637" w:rsidRDefault="00A24637" w:rsidP="00D17565">
      <w:r>
        <w:t xml:space="preserve">b) </w:t>
      </w:r>
      <w:r w:rsidR="00EF5DE8">
        <w:t>Use of a ratio between vertical and horizontal effecti</w:t>
      </w:r>
      <w:r w:rsidR="00D17565">
        <w:t xml:space="preserve">ve stresses that varies with </w:t>
      </w:r>
      <w:r w:rsidR="00EF5DE8">
        <w:t>depth</w:t>
      </w:r>
    </w:p>
    <w:p w14:paraId="700B798D" w14:textId="77777777" w:rsidR="00A24637" w:rsidRPr="00A24637" w:rsidRDefault="00A24637" w:rsidP="00F31790">
      <w:pPr>
        <w:pStyle w:val="Heading1"/>
      </w:pPr>
      <w:r w:rsidRPr="00A24637">
        <w:t>General input:</w:t>
      </w:r>
    </w:p>
    <w:p w14:paraId="034316CE" w14:textId="3973A1F5" w:rsidR="00A24637" w:rsidRDefault="00A24637" w:rsidP="000E63D2">
      <w:pPr>
        <w:pStyle w:val="ListParagraph"/>
        <w:numPr>
          <w:ilvl w:val="0"/>
          <w:numId w:val="6"/>
        </w:numPr>
      </w:pPr>
      <w:r>
        <w:t>Consider that the</w:t>
      </w:r>
      <w:r w:rsidR="00A6298F">
        <w:t xml:space="preserve"> sediments have a</w:t>
      </w:r>
      <w:r w:rsidR="00E153B7">
        <w:t>n overburden gradient of 20 MPa/km and that the pore water has a gradient of 10 MPa/km</w:t>
      </w:r>
    </w:p>
    <w:p w14:paraId="3FCE84A0" w14:textId="77777777" w:rsidR="00A24637" w:rsidRDefault="00A6298F" w:rsidP="000E63D2">
      <w:pPr>
        <w:pStyle w:val="ListParagraph"/>
        <w:numPr>
          <w:ilvl w:val="0"/>
          <w:numId w:val="6"/>
        </w:numPr>
      </w:pPr>
      <w:r>
        <w:t>Assume that the basin is overpressured</w:t>
      </w:r>
      <w:r w:rsidR="000328AA">
        <w:t xml:space="preserve"> with a pressure gradient of </w:t>
      </w:r>
      <w:r w:rsidR="00E153B7">
        <w:t>15 MPA/km</w:t>
      </w:r>
      <w:r w:rsidR="009E54B6">
        <w:t xml:space="preserve"> (i.e. the pore pressure at a depth of 5 km is 75 MPa)</w:t>
      </w:r>
      <w:r w:rsidR="000328AA">
        <w:t>.</w:t>
      </w:r>
    </w:p>
    <w:p w14:paraId="70C2B2E9" w14:textId="77777777" w:rsidR="00CC1058" w:rsidRDefault="00E879A4" w:rsidP="000E63D2">
      <w:pPr>
        <w:pStyle w:val="ListParagraph"/>
        <w:numPr>
          <w:ilvl w:val="0"/>
          <w:numId w:val="6"/>
        </w:numPr>
      </w:pPr>
      <w:r>
        <w:t>Poisson’s ratio v</w:t>
      </w:r>
      <w:r w:rsidR="00CC1058">
        <w:t>=0.25</w:t>
      </w:r>
    </w:p>
    <w:p w14:paraId="78567BBE" w14:textId="77777777" w:rsidR="00A46986" w:rsidRDefault="00A46986" w:rsidP="000E63D2">
      <w:pPr>
        <w:pStyle w:val="ListParagraph"/>
        <w:numPr>
          <w:ilvl w:val="0"/>
          <w:numId w:val="6"/>
        </w:numPr>
      </w:pPr>
      <w:r>
        <w:t xml:space="preserve">Consider a Basin with a depth of 5 </w:t>
      </w:r>
      <w:r w:rsidR="00E23261">
        <w:t>K</w:t>
      </w:r>
      <w:r>
        <w:t>m</w:t>
      </w:r>
    </w:p>
    <w:p w14:paraId="28D625D4" w14:textId="77777777" w:rsidR="00CC1058" w:rsidRDefault="00882926" w:rsidP="00F31790">
      <w:pPr>
        <w:pStyle w:val="Heading1"/>
      </w:pPr>
      <w:r>
        <w:t>A) Constant ratio</w:t>
      </w:r>
    </w:p>
    <w:p w14:paraId="3A760EF5" w14:textId="77777777" w:rsidR="00882926" w:rsidRDefault="00882926" w:rsidP="00D17565">
      <w:r>
        <w:t xml:space="preserve">1. Eaton (1969) calculated the ratio of horizontal to vertical stresses </w:t>
      </w:r>
      <w:r w:rsidR="00067E78">
        <w:t>using concepts of the</w:t>
      </w:r>
      <w:r>
        <w:t xml:space="preserve"> elastic theory:</w:t>
      </w:r>
    </w:p>
    <w:p w14:paraId="5E2897C8" w14:textId="77777777" w:rsidR="00882926" w:rsidRDefault="009D3D60" w:rsidP="00D17565"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</m:t>
                </m:r>
              </m:num>
              <m:den>
                <m:r>
                  <w:rPr>
                    <w:rFonts w:ascii="Cambria Math" w:hAnsi="Cambria Math"/>
                  </w:rPr>
                  <m:t>1-v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-u)+u</m:t>
        </m:r>
      </m:oMath>
      <w:r w:rsidR="00434CFA">
        <w:tab/>
      </w:r>
      <w:r w:rsidR="00434CFA">
        <w:tab/>
      </w:r>
      <w:r w:rsidR="00434CFA">
        <w:tab/>
      </w:r>
      <w:r w:rsidR="00434CFA">
        <w:tab/>
      </w:r>
      <w:r w:rsidR="00434CFA">
        <w:tab/>
      </w:r>
      <w:r>
        <w:tab/>
        <w:t xml:space="preserve">  </w:t>
      </w:r>
      <w:r w:rsidR="00434CFA">
        <w:t>Equation A.1</w:t>
      </w:r>
    </w:p>
    <w:p w14:paraId="5653B822" w14:textId="77777777" w:rsidR="00434CFA" w:rsidRDefault="00434CFA" w:rsidP="00D17565"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>
        <w:t xml:space="preserve"> is the effective horizontal stress,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σ'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 the effective vertical stress and u the pore pressure.</w:t>
      </w:r>
    </w:p>
    <w:p w14:paraId="64CBE071" w14:textId="77777777" w:rsidR="00CC1058" w:rsidRDefault="00AB26A2" w:rsidP="00D17565">
      <w:r>
        <w:t>Adopting Eaton’s approach, c</w:t>
      </w:r>
      <w:r w:rsidR="00CC1058">
        <w:t xml:space="preserve">alculate the vertical and horizontal effective and total stresses </w:t>
      </w:r>
      <w:r>
        <w:t>and p</w:t>
      </w:r>
      <w:r w:rsidR="001D0D44">
        <w:t>lot the stress profiles in the axes provided below</w:t>
      </w:r>
      <w:r w:rsidR="005D2C3C">
        <w:t xml:space="preserve"> (Figure A)</w:t>
      </w:r>
      <w:r w:rsidR="001D0D44">
        <w:t xml:space="preserve">. </w:t>
      </w:r>
      <w:r w:rsidR="00CC1058">
        <w:t>Identify the least principal stress.</w:t>
      </w:r>
      <w:r w:rsidR="00297F89">
        <w:t xml:space="preserve"> </w:t>
      </w:r>
    </w:p>
    <w:p w14:paraId="7C6E450F" w14:textId="77777777" w:rsidR="00F31790" w:rsidRDefault="00F31790" w:rsidP="00D17565"/>
    <w:p w14:paraId="2D5C53E0" w14:textId="77777777" w:rsidR="00F31790" w:rsidRDefault="00F31790" w:rsidP="00D17565"/>
    <w:p w14:paraId="4A0A82EE" w14:textId="77777777" w:rsidR="00D814C1" w:rsidRDefault="00424EAD" w:rsidP="00D17565">
      <w:r>
        <w:lastRenderedPageBreak/>
        <w:t xml:space="preserve">2. Zoback &amp; Healy (1984) proposed a ratio of </w:t>
      </w:r>
      <w:r w:rsidR="00D809A3">
        <w:t>minor</w:t>
      </w:r>
      <w:r>
        <w:t xml:space="preserve"> to </w:t>
      </w:r>
      <w:r w:rsidR="00D809A3">
        <w:t>major</w:t>
      </w:r>
      <w:r>
        <w:t xml:space="preserve"> </w:t>
      </w:r>
      <w:r w:rsidR="00302B4A">
        <w:t xml:space="preserve">principal </w:t>
      </w:r>
      <w:r>
        <w:t>effective stresses based on the assumption that s</w:t>
      </w:r>
      <w:r w:rsidRPr="00424EAD">
        <w:t>tresses in the Earth cannot exceed the frictional strength of pre-existing faults</w:t>
      </w:r>
      <w:r w:rsidR="007507AF">
        <w:t>:</w:t>
      </w:r>
    </w:p>
    <w:p w14:paraId="104DB40A" w14:textId="77777777" w:rsidR="007507AF" w:rsidRDefault="007507AF" w:rsidP="00D17565"/>
    <w:p w14:paraId="1000935E" w14:textId="77777777" w:rsidR="007507AF" w:rsidRDefault="00000000" w:rsidP="007507A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Cs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1-sinϕ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1+sinϕ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-u</m:t>
            </m:r>
          </m:e>
        </m:d>
        <m:r>
          <w:rPr>
            <w:rFonts w:ascii="Cambria Math" w:hAnsi="Cambria Math"/>
            <w:sz w:val="28"/>
          </w:rPr>
          <m:t xml:space="preserve">+u </m:t>
        </m:r>
      </m:oMath>
      <w:r w:rsidR="007507AF">
        <w:tab/>
      </w:r>
      <w:r w:rsidR="007507AF">
        <w:tab/>
      </w:r>
      <w:r w:rsidR="007507AF">
        <w:tab/>
      </w:r>
      <w:r w:rsidR="007507AF">
        <w:tab/>
      </w:r>
      <w:r w:rsidR="007507AF">
        <w:tab/>
      </w:r>
      <w:r w:rsidR="007507AF">
        <w:tab/>
      </w:r>
      <w:r w:rsidR="007507AF">
        <w:tab/>
        <w:t xml:space="preserve">  Equation A.2</w:t>
      </w:r>
    </w:p>
    <w:p w14:paraId="01222550" w14:textId="77777777" w:rsidR="007507AF" w:rsidRDefault="007507AF" w:rsidP="00D17565"/>
    <w:p w14:paraId="15FE2F54" w14:textId="77777777" w:rsidR="00424EAD" w:rsidRDefault="00094A53" w:rsidP="00D17565">
      <w:r>
        <w:t xml:space="preserve">Where </w:t>
      </w:r>
      <m:oMath>
        <m:r>
          <w:rPr>
            <w:rFonts w:ascii="Cambria Math" w:hAnsi="Cambria Math"/>
          </w:rPr>
          <m:t>ϕ</m:t>
        </m:r>
      </m:oMath>
      <w:r w:rsidR="00424EAD">
        <w:t xml:space="preserve"> </w:t>
      </w:r>
      <w:r>
        <w:t>is the friction angle (</w:t>
      </w:r>
      <m:oMath>
        <m:r>
          <w:rPr>
            <w:rFonts w:ascii="Cambria Math" w:hAnsi="Cambria Math"/>
          </w:rPr>
          <m:t>μ=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ϕ</m:t>
                </m:r>
              </m:e>
            </m:d>
          </m:e>
        </m:func>
        <m:r>
          <w:rPr>
            <w:rFonts w:ascii="Cambria Math" w:hAnsi="Cambria Math"/>
          </w:rPr>
          <m:t>)</m:t>
        </m:r>
      </m:oMath>
      <w:r w:rsidR="000B067D">
        <w:t xml:space="preserve">, </w:t>
      </w:r>
      <w:r w:rsidR="000B067D" w:rsidRPr="007251CA">
        <w:rPr>
          <w:rFonts w:ascii="Symbol" w:hAnsi="Symbol"/>
        </w:rPr>
        <w:t></w:t>
      </w:r>
      <w:r w:rsidR="000B067D">
        <w:rPr>
          <w:vertAlign w:val="subscript"/>
        </w:rPr>
        <w:t>1</w:t>
      </w:r>
      <w:r w:rsidR="000B067D">
        <w:t xml:space="preserve"> the maximum principal stress and </w:t>
      </w:r>
      <w:r w:rsidR="000B067D" w:rsidRPr="007251CA">
        <w:rPr>
          <w:rFonts w:ascii="Symbol" w:hAnsi="Symbol"/>
        </w:rPr>
        <w:t></w:t>
      </w:r>
      <w:r w:rsidR="000B067D">
        <w:rPr>
          <w:vertAlign w:val="subscript"/>
        </w:rPr>
        <w:t>3</w:t>
      </w:r>
      <w:r w:rsidR="000B067D">
        <w:t xml:space="preserve"> the minimum principal stress</w:t>
      </w:r>
      <w:r w:rsidR="00424EAD">
        <w:t>.</w:t>
      </w:r>
    </w:p>
    <w:p w14:paraId="536A6502" w14:textId="77777777" w:rsidR="008C2EA8" w:rsidRDefault="008C2EA8" w:rsidP="00D17565">
      <w:r>
        <w:t xml:space="preserve">Calculate the vertical and horizontal effective and total stresses using the </w:t>
      </w:r>
      <w:r w:rsidR="00424EAD">
        <w:t xml:space="preserve">Zoback &amp; Healy </w:t>
      </w:r>
      <w:r>
        <w:t xml:space="preserve">approach, </w:t>
      </w:r>
      <w:r w:rsidR="00424EAD">
        <w:t>using</w:t>
      </w:r>
      <w:r>
        <w:t xml:space="preserve"> a friction coefficient </w:t>
      </w:r>
      <w:r w:rsidRPr="00424EAD">
        <w:rPr>
          <w:rFonts w:ascii="Symbol" w:hAnsi="Symbol"/>
          <w:i/>
        </w:rPr>
        <w:t></w:t>
      </w:r>
      <w:r w:rsidR="00CF0A9F">
        <w:t xml:space="preserve"> = 0.578</w:t>
      </w:r>
      <w:r w:rsidR="00094A53">
        <w:t xml:space="preserve"> (</w:t>
      </w:r>
      <m:oMath>
        <m:r>
          <w:rPr>
            <w:rFonts w:ascii="Cambria Math" w:hAnsi="Cambria Math"/>
          </w:rPr>
          <m:t>ϕ=30)</m:t>
        </m:r>
      </m:oMath>
      <w:r>
        <w:t xml:space="preserve">. Plot the stress profiles </w:t>
      </w:r>
      <w:r w:rsidR="00424EAD">
        <w:t>on Figure A and identify the least principal stress</w:t>
      </w:r>
      <w:r>
        <w:t>.</w:t>
      </w:r>
      <w:r w:rsidR="00424EAD">
        <w:t xml:space="preserve"> How do the stresses compare with Eaton’s approach?</w:t>
      </w:r>
      <w:r>
        <w:t xml:space="preserve"> </w:t>
      </w:r>
    </w:p>
    <w:p w14:paraId="33B1EB9C" w14:textId="77777777" w:rsidR="00675CF9" w:rsidRDefault="00675CF9" w:rsidP="00F31790">
      <w:pPr>
        <w:pStyle w:val="Heading1"/>
      </w:pPr>
      <w:r>
        <w:t>B</w:t>
      </w:r>
      <w:r w:rsidRPr="00675CF9">
        <w:t xml:space="preserve">) </w:t>
      </w:r>
      <w:r w:rsidR="00121A74">
        <w:t>Stress ratio varying with depth</w:t>
      </w:r>
    </w:p>
    <w:p w14:paraId="4BA894CA" w14:textId="77777777" w:rsidR="00314B68" w:rsidRDefault="00314B68" w:rsidP="00D17565">
      <w:r>
        <w:t>Various authors have proposed empirical curves that relate the stress ratio with depth (e.g. Eaton (1969), Ma</w:t>
      </w:r>
      <w:r w:rsidR="00D12764">
        <w:t>t</w:t>
      </w:r>
      <w:r>
        <w:t xml:space="preserve">thews &amp; Kelly (1967)). </w:t>
      </w:r>
    </w:p>
    <w:p w14:paraId="1D60F069" w14:textId="77777777" w:rsidR="00314B68" w:rsidRDefault="00E966B2" w:rsidP="00D17565">
      <w:r>
        <w:t>Table B</w:t>
      </w:r>
      <w:r w:rsidR="00314B68">
        <w:t xml:space="preserve"> provides values for the stress ratio </w:t>
      </w:r>
      <w:r w:rsidR="00314B68" w:rsidRPr="00314B68">
        <w:rPr>
          <w:i/>
        </w:rPr>
        <w:t>K</w:t>
      </w:r>
      <w:r w:rsidR="00314B68" w:rsidRPr="00314B68">
        <w:rPr>
          <w:i/>
          <w:vertAlign w:val="subscript"/>
        </w:rPr>
        <w:t>i</w:t>
      </w:r>
      <w:r w:rsidR="00314B68">
        <w:t xml:space="preserve"> based on the empirical relation proposed by Ma</w:t>
      </w:r>
      <w:r w:rsidR="00D12764">
        <w:t>t</w:t>
      </w:r>
      <w:r w:rsidR="00314B68">
        <w:t>thews &amp; Kelly (1967) from the Louisiana Gulf Coast.</w:t>
      </w:r>
    </w:p>
    <w:p w14:paraId="2AF3BC9E" w14:textId="77777777" w:rsidR="000E63D2" w:rsidRDefault="000E63D2" w:rsidP="00D17565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42"/>
        <w:gridCol w:w="1447"/>
        <w:gridCol w:w="1409"/>
        <w:gridCol w:w="1409"/>
        <w:gridCol w:w="1456"/>
        <w:gridCol w:w="1369"/>
      </w:tblGrid>
      <w:tr w:rsidR="00C511C2" w14:paraId="50D337FC" w14:textId="77777777" w:rsidTr="006A3669">
        <w:tc>
          <w:tcPr>
            <w:tcW w:w="1359" w:type="dxa"/>
            <w:vAlign w:val="center"/>
          </w:tcPr>
          <w:p w14:paraId="6397D662" w14:textId="77777777" w:rsidR="00C511C2" w:rsidRDefault="00C511C2" w:rsidP="00D17565">
            <w:r>
              <w:t>Depth (km)</w:t>
            </w:r>
          </w:p>
        </w:tc>
        <w:tc>
          <w:tcPr>
            <w:tcW w:w="1472" w:type="dxa"/>
            <w:vAlign w:val="center"/>
          </w:tcPr>
          <w:p w14:paraId="53085766" w14:textId="77777777" w:rsidR="00C511C2" w:rsidRPr="00E966B2" w:rsidRDefault="00C511C2" w:rsidP="00D17565">
            <w:pPr>
              <w:rPr>
                <w:i/>
              </w:rPr>
            </w:pPr>
            <w:r w:rsidRPr="00E966B2">
              <w:rPr>
                <w:i/>
              </w:rPr>
              <w:t>K</w:t>
            </w:r>
            <w:r w:rsidRPr="00E966B2">
              <w:rPr>
                <w:i/>
                <w:vertAlign w:val="subscript"/>
              </w:rPr>
              <w:t>i</w:t>
            </w:r>
          </w:p>
        </w:tc>
        <w:tc>
          <w:tcPr>
            <w:tcW w:w="1428" w:type="dxa"/>
            <w:vAlign w:val="center"/>
          </w:tcPr>
          <w:p w14:paraId="020DD02E" w14:textId="77777777" w:rsidR="00C511C2" w:rsidRPr="006A3669" w:rsidRDefault="00C511C2" w:rsidP="00D17565">
            <w:r w:rsidRPr="00132E07">
              <w:rPr>
                <w:rFonts w:ascii="Symbol" w:hAnsi="Symbol"/>
              </w:rPr>
              <w:t></w:t>
            </w:r>
            <w:r>
              <w:rPr>
                <w:vertAlign w:val="subscript"/>
              </w:rPr>
              <w:t>v</w:t>
            </w:r>
            <w:r w:rsidR="006A3669">
              <w:t xml:space="preserve"> (MPa)</w:t>
            </w:r>
          </w:p>
        </w:tc>
        <w:tc>
          <w:tcPr>
            <w:tcW w:w="1428" w:type="dxa"/>
            <w:vAlign w:val="center"/>
          </w:tcPr>
          <w:p w14:paraId="66F82C4E" w14:textId="77777777" w:rsidR="00C511C2" w:rsidRDefault="00C511C2" w:rsidP="00D17565">
            <w:r>
              <w:t>u</w:t>
            </w:r>
            <w:r w:rsidR="006A3669">
              <w:t xml:space="preserve"> (MPa)</w:t>
            </w:r>
          </w:p>
        </w:tc>
        <w:tc>
          <w:tcPr>
            <w:tcW w:w="1476" w:type="dxa"/>
            <w:vAlign w:val="center"/>
          </w:tcPr>
          <w:p w14:paraId="59C8A3FF" w14:textId="77777777" w:rsidR="00C511C2" w:rsidRPr="006A3669" w:rsidRDefault="00C511C2" w:rsidP="00D17565">
            <w:r w:rsidRPr="00132E07">
              <w:rPr>
                <w:rFonts w:ascii="Symbol" w:hAnsi="Symbol"/>
              </w:rPr>
              <w:t></w:t>
            </w:r>
            <w:r>
              <w:rPr>
                <w:vertAlign w:val="subscript"/>
              </w:rPr>
              <w:t>h</w:t>
            </w:r>
            <w:r w:rsidR="006A3669">
              <w:t xml:space="preserve"> (MPa)</w:t>
            </w:r>
          </w:p>
        </w:tc>
        <w:tc>
          <w:tcPr>
            <w:tcW w:w="1387" w:type="dxa"/>
            <w:vAlign w:val="center"/>
          </w:tcPr>
          <w:p w14:paraId="0148618E" w14:textId="77777777" w:rsidR="00C511C2" w:rsidRPr="006A3669" w:rsidRDefault="00C511C2" w:rsidP="00D17565">
            <w:r w:rsidRPr="00132E07">
              <w:rPr>
                <w:rFonts w:ascii="Symbol" w:hAnsi="Symbol"/>
              </w:rPr>
              <w:t></w:t>
            </w:r>
            <w:r>
              <w:t>’</w:t>
            </w:r>
            <w:r>
              <w:rPr>
                <w:vertAlign w:val="subscript"/>
              </w:rPr>
              <w:t>h</w:t>
            </w:r>
            <w:r w:rsidR="006A3669">
              <w:t xml:space="preserve"> (MPa)</w:t>
            </w:r>
          </w:p>
        </w:tc>
      </w:tr>
      <w:tr w:rsidR="00C511C2" w14:paraId="3B9F067B" w14:textId="77777777" w:rsidTr="006A3669">
        <w:tc>
          <w:tcPr>
            <w:tcW w:w="1359" w:type="dxa"/>
            <w:vAlign w:val="center"/>
          </w:tcPr>
          <w:p w14:paraId="5217AF9D" w14:textId="77777777" w:rsidR="00C511C2" w:rsidRDefault="00C511C2" w:rsidP="00D17565">
            <w:r>
              <w:t>1</w:t>
            </w:r>
          </w:p>
        </w:tc>
        <w:tc>
          <w:tcPr>
            <w:tcW w:w="1472" w:type="dxa"/>
            <w:vAlign w:val="center"/>
          </w:tcPr>
          <w:p w14:paraId="71B90302" w14:textId="77777777" w:rsidR="00C511C2" w:rsidRDefault="00C511C2" w:rsidP="00D17565">
            <w:r>
              <w:t>0.4</w:t>
            </w:r>
            <w:r w:rsidR="006A3669">
              <w:t>3</w:t>
            </w:r>
          </w:p>
        </w:tc>
        <w:tc>
          <w:tcPr>
            <w:tcW w:w="1428" w:type="dxa"/>
            <w:vAlign w:val="center"/>
          </w:tcPr>
          <w:p w14:paraId="61B54FEC" w14:textId="77777777" w:rsidR="00E879A4" w:rsidRDefault="00E879A4" w:rsidP="00D17565">
            <w:r>
              <w:t>20</w:t>
            </w:r>
          </w:p>
        </w:tc>
        <w:tc>
          <w:tcPr>
            <w:tcW w:w="1428" w:type="dxa"/>
            <w:vAlign w:val="center"/>
          </w:tcPr>
          <w:p w14:paraId="03C7F5AB" w14:textId="77777777" w:rsidR="00C511C2" w:rsidRDefault="00E879A4" w:rsidP="00D17565">
            <w:r>
              <w:t>15</w:t>
            </w:r>
          </w:p>
        </w:tc>
        <w:tc>
          <w:tcPr>
            <w:tcW w:w="1476" w:type="dxa"/>
            <w:vAlign w:val="center"/>
          </w:tcPr>
          <w:p w14:paraId="292847F0" w14:textId="77777777" w:rsidR="00C511C2" w:rsidRDefault="00C511C2" w:rsidP="00D17565"/>
        </w:tc>
        <w:tc>
          <w:tcPr>
            <w:tcW w:w="1387" w:type="dxa"/>
            <w:vAlign w:val="center"/>
          </w:tcPr>
          <w:p w14:paraId="095C791D" w14:textId="77777777" w:rsidR="00C511C2" w:rsidRDefault="00C511C2" w:rsidP="00D17565"/>
        </w:tc>
      </w:tr>
      <w:tr w:rsidR="00C511C2" w14:paraId="33437F30" w14:textId="77777777" w:rsidTr="006A3669">
        <w:tc>
          <w:tcPr>
            <w:tcW w:w="1359" w:type="dxa"/>
            <w:vAlign w:val="center"/>
          </w:tcPr>
          <w:p w14:paraId="5EC87852" w14:textId="77777777" w:rsidR="00C511C2" w:rsidRDefault="00C511C2" w:rsidP="00D17565">
            <w:r>
              <w:t>2</w:t>
            </w:r>
          </w:p>
        </w:tc>
        <w:tc>
          <w:tcPr>
            <w:tcW w:w="1472" w:type="dxa"/>
            <w:vAlign w:val="center"/>
          </w:tcPr>
          <w:p w14:paraId="4BBCC13F" w14:textId="77777777" w:rsidR="00C511C2" w:rsidRDefault="00C511C2" w:rsidP="00D17565">
            <w:r>
              <w:t>0.56</w:t>
            </w:r>
          </w:p>
        </w:tc>
        <w:tc>
          <w:tcPr>
            <w:tcW w:w="1428" w:type="dxa"/>
            <w:vAlign w:val="center"/>
          </w:tcPr>
          <w:p w14:paraId="234E7776" w14:textId="77777777" w:rsidR="00C511C2" w:rsidRDefault="00E879A4" w:rsidP="00D17565">
            <w:r>
              <w:t>40</w:t>
            </w:r>
          </w:p>
        </w:tc>
        <w:tc>
          <w:tcPr>
            <w:tcW w:w="1428" w:type="dxa"/>
            <w:vAlign w:val="center"/>
          </w:tcPr>
          <w:p w14:paraId="1449C116" w14:textId="77777777" w:rsidR="00C511C2" w:rsidRDefault="00E879A4" w:rsidP="00D17565">
            <w:r>
              <w:t>30</w:t>
            </w:r>
          </w:p>
        </w:tc>
        <w:tc>
          <w:tcPr>
            <w:tcW w:w="1476" w:type="dxa"/>
            <w:vAlign w:val="center"/>
          </w:tcPr>
          <w:p w14:paraId="6C812CF3" w14:textId="77777777" w:rsidR="00C511C2" w:rsidRDefault="00C511C2" w:rsidP="00D17565"/>
        </w:tc>
        <w:tc>
          <w:tcPr>
            <w:tcW w:w="1387" w:type="dxa"/>
            <w:vAlign w:val="center"/>
          </w:tcPr>
          <w:p w14:paraId="32A65CD1" w14:textId="77777777" w:rsidR="00C511C2" w:rsidRDefault="00C511C2" w:rsidP="00D17565"/>
        </w:tc>
      </w:tr>
      <w:tr w:rsidR="00C511C2" w14:paraId="043B8DB6" w14:textId="77777777" w:rsidTr="006A3669">
        <w:tc>
          <w:tcPr>
            <w:tcW w:w="1359" w:type="dxa"/>
            <w:vAlign w:val="center"/>
          </w:tcPr>
          <w:p w14:paraId="3F73364B" w14:textId="77777777" w:rsidR="00C511C2" w:rsidRDefault="00C511C2" w:rsidP="00D17565">
            <w:r>
              <w:t>3</w:t>
            </w:r>
          </w:p>
        </w:tc>
        <w:tc>
          <w:tcPr>
            <w:tcW w:w="1472" w:type="dxa"/>
            <w:vAlign w:val="center"/>
          </w:tcPr>
          <w:p w14:paraId="41F6BDA1" w14:textId="77777777" w:rsidR="00C511C2" w:rsidRDefault="00C511C2" w:rsidP="00D17565">
            <w:r>
              <w:t>0.6</w:t>
            </w:r>
            <w:r w:rsidR="006A3669">
              <w:t>7</w:t>
            </w:r>
          </w:p>
        </w:tc>
        <w:tc>
          <w:tcPr>
            <w:tcW w:w="1428" w:type="dxa"/>
            <w:vAlign w:val="center"/>
          </w:tcPr>
          <w:p w14:paraId="31D58FEC" w14:textId="77777777" w:rsidR="00C511C2" w:rsidRDefault="00E879A4" w:rsidP="00D17565">
            <w:r>
              <w:t>60</w:t>
            </w:r>
          </w:p>
        </w:tc>
        <w:tc>
          <w:tcPr>
            <w:tcW w:w="1428" w:type="dxa"/>
            <w:vAlign w:val="center"/>
          </w:tcPr>
          <w:p w14:paraId="68FF20AE" w14:textId="77777777" w:rsidR="00C511C2" w:rsidRDefault="00E879A4" w:rsidP="00D17565">
            <w:r>
              <w:t>45</w:t>
            </w:r>
          </w:p>
        </w:tc>
        <w:tc>
          <w:tcPr>
            <w:tcW w:w="1476" w:type="dxa"/>
            <w:vAlign w:val="center"/>
          </w:tcPr>
          <w:p w14:paraId="1E95AC26" w14:textId="77777777" w:rsidR="00C511C2" w:rsidRDefault="00C511C2" w:rsidP="00D17565"/>
        </w:tc>
        <w:tc>
          <w:tcPr>
            <w:tcW w:w="1387" w:type="dxa"/>
            <w:vAlign w:val="center"/>
          </w:tcPr>
          <w:p w14:paraId="6EF9E7B9" w14:textId="77777777" w:rsidR="00C511C2" w:rsidRDefault="00C511C2" w:rsidP="00D17565"/>
        </w:tc>
      </w:tr>
      <w:tr w:rsidR="00C511C2" w14:paraId="55C5140E" w14:textId="77777777" w:rsidTr="006A3669">
        <w:tc>
          <w:tcPr>
            <w:tcW w:w="1359" w:type="dxa"/>
            <w:vAlign w:val="center"/>
          </w:tcPr>
          <w:p w14:paraId="7BB82900" w14:textId="77777777" w:rsidR="00C511C2" w:rsidRDefault="00C511C2" w:rsidP="00D17565">
            <w:r>
              <w:t>4</w:t>
            </w:r>
          </w:p>
        </w:tc>
        <w:tc>
          <w:tcPr>
            <w:tcW w:w="1472" w:type="dxa"/>
            <w:vAlign w:val="center"/>
          </w:tcPr>
          <w:p w14:paraId="6309D371" w14:textId="77777777" w:rsidR="00C511C2" w:rsidRDefault="006A3669" w:rsidP="00D17565">
            <w:r>
              <w:t>0.78</w:t>
            </w:r>
          </w:p>
        </w:tc>
        <w:tc>
          <w:tcPr>
            <w:tcW w:w="1428" w:type="dxa"/>
            <w:vAlign w:val="center"/>
          </w:tcPr>
          <w:p w14:paraId="0B018C5E" w14:textId="77777777" w:rsidR="00C511C2" w:rsidRDefault="00E879A4" w:rsidP="00D17565">
            <w:r>
              <w:t>80</w:t>
            </w:r>
          </w:p>
        </w:tc>
        <w:tc>
          <w:tcPr>
            <w:tcW w:w="1428" w:type="dxa"/>
            <w:vAlign w:val="center"/>
          </w:tcPr>
          <w:p w14:paraId="55729E5B" w14:textId="77777777" w:rsidR="00C511C2" w:rsidRDefault="00E879A4" w:rsidP="00D17565">
            <w:r>
              <w:t>60</w:t>
            </w:r>
          </w:p>
        </w:tc>
        <w:tc>
          <w:tcPr>
            <w:tcW w:w="1476" w:type="dxa"/>
            <w:vAlign w:val="center"/>
          </w:tcPr>
          <w:p w14:paraId="2931E958" w14:textId="77777777" w:rsidR="00C511C2" w:rsidRDefault="00C511C2" w:rsidP="00D17565"/>
        </w:tc>
        <w:tc>
          <w:tcPr>
            <w:tcW w:w="1387" w:type="dxa"/>
            <w:vAlign w:val="center"/>
          </w:tcPr>
          <w:p w14:paraId="7AD1981A" w14:textId="77777777" w:rsidR="00C511C2" w:rsidRDefault="00C511C2" w:rsidP="00D17565"/>
        </w:tc>
      </w:tr>
      <w:tr w:rsidR="00C511C2" w14:paraId="1A3EE886" w14:textId="77777777" w:rsidTr="006A3669">
        <w:tc>
          <w:tcPr>
            <w:tcW w:w="1359" w:type="dxa"/>
            <w:vAlign w:val="center"/>
          </w:tcPr>
          <w:p w14:paraId="049F4B9C" w14:textId="77777777" w:rsidR="00C511C2" w:rsidRDefault="00C511C2" w:rsidP="00D17565">
            <w:r>
              <w:t>5</w:t>
            </w:r>
          </w:p>
        </w:tc>
        <w:tc>
          <w:tcPr>
            <w:tcW w:w="1472" w:type="dxa"/>
            <w:vAlign w:val="center"/>
          </w:tcPr>
          <w:p w14:paraId="6E245013" w14:textId="77777777" w:rsidR="00C511C2" w:rsidRDefault="006A3669" w:rsidP="00D17565">
            <w:r>
              <w:t>0.85</w:t>
            </w:r>
          </w:p>
        </w:tc>
        <w:tc>
          <w:tcPr>
            <w:tcW w:w="1428" w:type="dxa"/>
            <w:vAlign w:val="center"/>
          </w:tcPr>
          <w:p w14:paraId="0220CFC8" w14:textId="77777777" w:rsidR="00C511C2" w:rsidRDefault="00E879A4" w:rsidP="00D17565">
            <w:r>
              <w:t>100</w:t>
            </w:r>
          </w:p>
        </w:tc>
        <w:tc>
          <w:tcPr>
            <w:tcW w:w="1428" w:type="dxa"/>
            <w:vAlign w:val="center"/>
          </w:tcPr>
          <w:p w14:paraId="3FCFEE45" w14:textId="77777777" w:rsidR="00C511C2" w:rsidRDefault="00E879A4" w:rsidP="00D17565">
            <w:r>
              <w:t>75</w:t>
            </w:r>
          </w:p>
        </w:tc>
        <w:tc>
          <w:tcPr>
            <w:tcW w:w="1476" w:type="dxa"/>
            <w:vAlign w:val="center"/>
          </w:tcPr>
          <w:p w14:paraId="26F492E7" w14:textId="77777777" w:rsidR="00C511C2" w:rsidRDefault="00C511C2" w:rsidP="00D17565"/>
        </w:tc>
        <w:tc>
          <w:tcPr>
            <w:tcW w:w="1387" w:type="dxa"/>
            <w:vAlign w:val="center"/>
          </w:tcPr>
          <w:p w14:paraId="0FB47D7D" w14:textId="77777777" w:rsidR="00C511C2" w:rsidRDefault="00C511C2" w:rsidP="00D17565"/>
        </w:tc>
      </w:tr>
    </w:tbl>
    <w:p w14:paraId="7A6B146C" w14:textId="77777777" w:rsidR="00314B68" w:rsidRDefault="00E966B2" w:rsidP="00D17565">
      <w:pPr>
        <w:rPr>
          <w:i/>
        </w:rPr>
      </w:pPr>
      <w:r w:rsidRPr="00E966B2">
        <w:rPr>
          <w:i/>
        </w:rPr>
        <w:t>Table B: Stress ratio K</w:t>
      </w:r>
      <w:r w:rsidRPr="00E966B2">
        <w:rPr>
          <w:i/>
          <w:vertAlign w:val="subscript"/>
        </w:rPr>
        <w:t>i</w:t>
      </w:r>
      <w:r w:rsidRPr="00E966B2">
        <w:rPr>
          <w:i/>
        </w:rPr>
        <w:t xml:space="preserve"> with depth from Ma</w:t>
      </w:r>
      <w:r w:rsidR="00D12764">
        <w:rPr>
          <w:i/>
        </w:rPr>
        <w:t>t</w:t>
      </w:r>
      <w:r w:rsidRPr="00E966B2">
        <w:rPr>
          <w:i/>
        </w:rPr>
        <w:t>thews &amp; Kelly (1967)</w:t>
      </w:r>
    </w:p>
    <w:p w14:paraId="78FB78D4" w14:textId="77777777" w:rsidR="000E63D2" w:rsidRPr="00E966B2" w:rsidRDefault="000E63D2" w:rsidP="00D17565">
      <w:pPr>
        <w:rPr>
          <w:i/>
        </w:rPr>
      </w:pPr>
    </w:p>
    <w:p w14:paraId="6257581F" w14:textId="77777777" w:rsidR="00314B68" w:rsidRPr="00314B68" w:rsidRDefault="00314B68" w:rsidP="00D17565">
      <w:r>
        <w:t>Using these values calculate the stresses at the given depths by fil</w:t>
      </w:r>
      <w:r w:rsidR="00F75CEB">
        <w:t>ling in the rest of the Table B</w:t>
      </w:r>
      <w:r>
        <w:t>.</w:t>
      </w:r>
      <w:r w:rsidR="007C2A8D">
        <w:t xml:space="preserve"> Plot the stresses</w:t>
      </w:r>
      <w:r w:rsidR="00822D9C">
        <w:t xml:space="preserve"> in the axes provided (Figure B</w:t>
      </w:r>
      <w:r w:rsidR="007C2A8D">
        <w:t>) and interpolate the variation of the horizontal stress with depth.</w:t>
      </w:r>
    </w:p>
    <w:p w14:paraId="4BDC87E2" w14:textId="77777777" w:rsidR="00B80C47" w:rsidRDefault="00B80C47" w:rsidP="00D17565"/>
    <w:p w14:paraId="6655D525" w14:textId="77777777" w:rsidR="00B80C47" w:rsidRDefault="00DB475B" w:rsidP="00F31790">
      <w:pPr>
        <w:pStyle w:val="Heading1"/>
      </w:pPr>
      <w:r>
        <w:t>C</w:t>
      </w:r>
      <w:r w:rsidRPr="00675CF9">
        <w:t xml:space="preserve">) </w:t>
      </w:r>
      <w:r w:rsidR="00302B4A">
        <w:t>Application: Stresses at a thrust belt</w:t>
      </w:r>
    </w:p>
    <w:p w14:paraId="05DEE9CD" w14:textId="77777777" w:rsidR="00302B4A" w:rsidRDefault="00302B4A" w:rsidP="00D17565">
      <w:r>
        <w:t>Using</w:t>
      </w:r>
      <w:r w:rsidR="001F4AAF">
        <w:t xml:space="preserve"> </w:t>
      </w:r>
      <w:r>
        <w:t xml:space="preserve">the approach proposed by </w:t>
      </w:r>
      <w:r w:rsidR="001F4AAF">
        <w:t xml:space="preserve">Zoback &amp; Healy (1984) </w:t>
      </w:r>
      <w:r>
        <w:t>(Equation A.2) c</w:t>
      </w:r>
      <w:r w:rsidR="001F4AAF">
        <w:t xml:space="preserve">alculate the vertical and horizontal effective and total stresses </w:t>
      </w:r>
      <w:r>
        <w:t xml:space="preserve">at a thrust belt setting and plot the stress profiles on the axes provided at Figure C. Use the same friction </w:t>
      </w:r>
      <w:r w:rsidR="00C445DE">
        <w:t>angle</w:t>
      </w:r>
      <w:r>
        <w:t xml:space="preserve"> as in A2 (</w:t>
      </w:r>
      <w:r w:rsidR="00C445DE">
        <w:rPr>
          <w:rFonts w:ascii="Symbol" w:hAnsi="Symbol"/>
          <w:i/>
        </w:rPr>
        <w:t></w:t>
      </w:r>
      <w:r>
        <w:t xml:space="preserve">= </w:t>
      </w:r>
      <w:r w:rsidR="00C445DE">
        <w:t>30</w:t>
      </w:r>
      <w:r>
        <w:t>). Remember that at a thrust belt setting, the horizontal stress is higher than the vertical stress.</w:t>
      </w:r>
    </w:p>
    <w:p w14:paraId="53BC0C87" w14:textId="77777777" w:rsidR="001F4AAF" w:rsidRDefault="001F4AAF" w:rsidP="00D17565">
      <w:pPr>
        <w:outlineLvl w:val="0"/>
      </w:pPr>
    </w:p>
    <w:p w14:paraId="70397394" w14:textId="77777777" w:rsidR="00333B4E" w:rsidRDefault="00333B4E" w:rsidP="00D17565">
      <w:r>
        <w:rPr>
          <w:noProof/>
        </w:rPr>
        <w:drawing>
          <wp:inline distT="0" distB="0" distL="0" distR="0" wp14:anchorId="12CD719C" wp14:editId="6E8C3B98">
            <wp:extent cx="5486400" cy="56401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DB1E" w14:textId="77777777" w:rsidR="00333B4E" w:rsidRDefault="00333B4E" w:rsidP="00D17565"/>
    <w:p w14:paraId="7FC9EC88" w14:textId="77777777" w:rsidR="00333B4E" w:rsidRDefault="00333B4E" w:rsidP="00D17565"/>
    <w:p w14:paraId="0084070F" w14:textId="77777777" w:rsidR="005A59C4" w:rsidRDefault="005A59C4" w:rsidP="00D17565"/>
    <w:p w14:paraId="640F826B" w14:textId="77777777" w:rsidR="005578AD" w:rsidRDefault="007A5E59" w:rsidP="00D17565">
      <w:r>
        <w:rPr>
          <w:noProof/>
        </w:rPr>
        <w:drawing>
          <wp:inline distT="0" distB="0" distL="0" distR="0" wp14:anchorId="14D732D4" wp14:editId="1EC5A531">
            <wp:extent cx="5486400" cy="5657088"/>
            <wp:effectExtent l="0" t="0" r="0" b="762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3703" w14:textId="77777777" w:rsidR="00333B4E" w:rsidRDefault="00333B4E" w:rsidP="00D17565"/>
    <w:p w14:paraId="434A41DC" w14:textId="77777777" w:rsidR="00333B4E" w:rsidRDefault="000B6B7E" w:rsidP="00D17565">
      <w:r>
        <w:rPr>
          <w:noProof/>
        </w:rPr>
        <w:lastRenderedPageBreak/>
        <w:drawing>
          <wp:inline distT="0" distB="0" distL="0" distR="0" wp14:anchorId="1F5F08CB" wp14:editId="1BE10BDF">
            <wp:extent cx="5486400" cy="5657088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5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B4E" w:rsidSect="00113E5A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D10E" w14:textId="77777777" w:rsidR="00B10CAC" w:rsidRDefault="00B10CAC" w:rsidP="00D17565">
      <w:r>
        <w:separator/>
      </w:r>
    </w:p>
  </w:endnote>
  <w:endnote w:type="continuationSeparator" w:id="0">
    <w:p w14:paraId="354D2B22" w14:textId="77777777" w:rsidR="00B10CAC" w:rsidRDefault="00B10CAC" w:rsidP="00D1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3910" w14:textId="7B361719" w:rsidR="00D17565" w:rsidRDefault="00E4464A" w:rsidP="009F6F4F">
    <w:pPr>
      <w:pStyle w:val="Footer"/>
      <w:tabs>
        <w:tab w:val="clear" w:pos="4680"/>
        <w:tab w:val="clear" w:pos="9360"/>
        <w:tab w:val="center" w:pos="-3870"/>
        <w:tab w:val="right" w:pos="-3780"/>
      </w:tabs>
      <w:spacing w:after="0" w:line="240" w:lineRule="auto"/>
    </w:pPr>
    <w:r>
      <w:t>HW-</w:t>
    </w:r>
    <w:r w:rsidR="00A838CA">
      <w:t>3</w:t>
    </w:r>
    <w:r w:rsidR="00BA7889">
      <w:t>d</w:t>
    </w:r>
    <w:r w:rsidR="00D17565">
      <w:t>: Calculating Least Principal Stresses</w:t>
    </w:r>
    <w:r w:rsidR="00D17565">
      <w:tab/>
    </w:r>
    <w:sdt>
      <w:sdtPr>
        <w:id w:val="201606464"/>
        <w:docPartObj>
          <w:docPartGallery w:val="Page Numbers (Bottom of Page)"/>
          <w:docPartUnique/>
        </w:docPartObj>
      </w:sdtPr>
      <w:sdtContent>
        <w:r w:rsidR="0080125C">
          <w:tab/>
        </w:r>
        <w:r w:rsidR="0080125C">
          <w:tab/>
        </w:r>
        <w:r w:rsidR="0080125C">
          <w:tab/>
          <w:t xml:space="preserve">          </w:t>
        </w:r>
        <w:r w:rsidR="00D17565">
          <w:t xml:space="preserve">Page | </w:t>
        </w:r>
        <w:r w:rsidR="00D17565">
          <w:fldChar w:fldCharType="begin"/>
        </w:r>
        <w:r w:rsidR="00D17565">
          <w:instrText xml:space="preserve"> PAGE   \* MERGEFORMAT </w:instrText>
        </w:r>
        <w:r w:rsidR="00D17565">
          <w:fldChar w:fldCharType="separate"/>
        </w:r>
        <w:r w:rsidR="0046181F">
          <w:rPr>
            <w:noProof/>
          </w:rPr>
          <w:t>1</w:t>
        </w:r>
        <w:r w:rsidR="00D17565">
          <w:rPr>
            <w:noProof/>
          </w:rPr>
          <w:fldChar w:fldCharType="end"/>
        </w:r>
        <w:r w:rsidR="00D17565">
          <w:t xml:space="preserve"> </w:t>
        </w:r>
      </w:sdtContent>
    </w:sdt>
  </w:p>
  <w:p w14:paraId="6D14CA77" w14:textId="7225251F" w:rsidR="00D17565" w:rsidRDefault="00D17565" w:rsidP="009F6F4F">
    <w:pPr>
      <w:pStyle w:val="Footer"/>
      <w:tabs>
        <w:tab w:val="clear" w:pos="4680"/>
        <w:tab w:val="clear" w:pos="9360"/>
        <w:tab w:val="center" w:pos="-4050"/>
        <w:tab w:val="right" w:pos="-3960"/>
      </w:tabs>
      <w:spacing w:after="0" w:line="240" w:lineRule="auto"/>
    </w:pPr>
    <w:r>
      <w:t xml:space="preserve">© </w:t>
    </w:r>
    <w:r w:rsidR="00BA7889">
      <w:t>2022</w:t>
    </w:r>
    <w:r>
      <w:t xml:space="preserve"> Flemings</w:t>
    </w:r>
    <w:r w:rsidR="00FA4B6B">
      <w:t>/</w:t>
    </w:r>
    <w:proofErr w:type="spellStart"/>
    <w:r w:rsidR="00FA4B6B">
      <w:t>Nikolinakou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85BC" w14:textId="77777777" w:rsidR="00B10CAC" w:rsidRDefault="00B10CAC" w:rsidP="00D17565">
      <w:r>
        <w:separator/>
      </w:r>
    </w:p>
  </w:footnote>
  <w:footnote w:type="continuationSeparator" w:id="0">
    <w:p w14:paraId="3CCAD0BF" w14:textId="77777777" w:rsidR="00B10CAC" w:rsidRDefault="00B10CAC" w:rsidP="00D1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8AD"/>
    <w:multiLevelType w:val="hybridMultilevel"/>
    <w:tmpl w:val="C0E47D44"/>
    <w:lvl w:ilvl="0" w:tplc="504498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430C"/>
    <w:multiLevelType w:val="hybridMultilevel"/>
    <w:tmpl w:val="A960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E08C3"/>
    <w:multiLevelType w:val="hybridMultilevel"/>
    <w:tmpl w:val="8A182EC8"/>
    <w:lvl w:ilvl="0" w:tplc="D340B1CE">
      <w:start w:val="1"/>
      <w:numFmt w:val="decimal"/>
      <w:pStyle w:val="ListM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20190520">
    <w:abstractNumId w:val="2"/>
  </w:num>
  <w:num w:numId="2" w16cid:durableId="931861537">
    <w:abstractNumId w:val="2"/>
  </w:num>
  <w:num w:numId="3" w16cid:durableId="805005012">
    <w:abstractNumId w:val="2"/>
  </w:num>
  <w:num w:numId="4" w16cid:durableId="2095936229">
    <w:abstractNumId w:val="2"/>
  </w:num>
  <w:num w:numId="5" w16cid:durableId="2087454008">
    <w:abstractNumId w:val="1"/>
  </w:num>
  <w:num w:numId="6" w16cid:durableId="16031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37"/>
    <w:rsid w:val="000328AA"/>
    <w:rsid w:val="00045F61"/>
    <w:rsid w:val="00067E78"/>
    <w:rsid w:val="000752CA"/>
    <w:rsid w:val="00094A53"/>
    <w:rsid w:val="000B067D"/>
    <w:rsid w:val="000B6B7E"/>
    <w:rsid w:val="000D7134"/>
    <w:rsid w:val="000E63D2"/>
    <w:rsid w:val="001062D6"/>
    <w:rsid w:val="00113E5A"/>
    <w:rsid w:val="00121A74"/>
    <w:rsid w:val="001B4877"/>
    <w:rsid w:val="001D0D44"/>
    <w:rsid w:val="001D154A"/>
    <w:rsid w:val="001F4AAF"/>
    <w:rsid w:val="002114DF"/>
    <w:rsid w:val="0027141F"/>
    <w:rsid w:val="00297F89"/>
    <w:rsid w:val="002A4C2B"/>
    <w:rsid w:val="002C27B0"/>
    <w:rsid w:val="002E5779"/>
    <w:rsid w:val="002F17B7"/>
    <w:rsid w:val="002F3ADF"/>
    <w:rsid w:val="00302B4A"/>
    <w:rsid w:val="00314B68"/>
    <w:rsid w:val="00333B4E"/>
    <w:rsid w:val="003B785B"/>
    <w:rsid w:val="00424EAD"/>
    <w:rsid w:val="00434CFA"/>
    <w:rsid w:val="004465B4"/>
    <w:rsid w:val="004465E5"/>
    <w:rsid w:val="004502E2"/>
    <w:rsid w:val="0046181F"/>
    <w:rsid w:val="0048172B"/>
    <w:rsid w:val="00496961"/>
    <w:rsid w:val="004A2291"/>
    <w:rsid w:val="004E2AAA"/>
    <w:rsid w:val="00535D61"/>
    <w:rsid w:val="00556180"/>
    <w:rsid w:val="005578AD"/>
    <w:rsid w:val="005A59C4"/>
    <w:rsid w:val="005D2C3C"/>
    <w:rsid w:val="0062449E"/>
    <w:rsid w:val="00675CF9"/>
    <w:rsid w:val="00681F36"/>
    <w:rsid w:val="006901C7"/>
    <w:rsid w:val="006A3669"/>
    <w:rsid w:val="006E5E64"/>
    <w:rsid w:val="007507AF"/>
    <w:rsid w:val="007A24AE"/>
    <w:rsid w:val="007A5E59"/>
    <w:rsid w:val="007C2A8D"/>
    <w:rsid w:val="007F0116"/>
    <w:rsid w:val="0080125C"/>
    <w:rsid w:val="00822D9C"/>
    <w:rsid w:val="008335AE"/>
    <w:rsid w:val="00852FCC"/>
    <w:rsid w:val="008653B5"/>
    <w:rsid w:val="00882926"/>
    <w:rsid w:val="008B3201"/>
    <w:rsid w:val="008C2EA8"/>
    <w:rsid w:val="008C4858"/>
    <w:rsid w:val="009330D2"/>
    <w:rsid w:val="009D2732"/>
    <w:rsid w:val="009D3D60"/>
    <w:rsid w:val="009D7F38"/>
    <w:rsid w:val="009E54B6"/>
    <w:rsid w:val="009F1B99"/>
    <w:rsid w:val="009F6F4F"/>
    <w:rsid w:val="00A2378C"/>
    <w:rsid w:val="00A24637"/>
    <w:rsid w:val="00A36500"/>
    <w:rsid w:val="00A44944"/>
    <w:rsid w:val="00A46986"/>
    <w:rsid w:val="00A52E2B"/>
    <w:rsid w:val="00A6298F"/>
    <w:rsid w:val="00A66964"/>
    <w:rsid w:val="00A82677"/>
    <w:rsid w:val="00A838CA"/>
    <w:rsid w:val="00A95101"/>
    <w:rsid w:val="00AA63F5"/>
    <w:rsid w:val="00AB26A2"/>
    <w:rsid w:val="00AD0652"/>
    <w:rsid w:val="00AD2D66"/>
    <w:rsid w:val="00AD6B56"/>
    <w:rsid w:val="00B038DD"/>
    <w:rsid w:val="00B10CAC"/>
    <w:rsid w:val="00B11A59"/>
    <w:rsid w:val="00B30209"/>
    <w:rsid w:val="00B678AB"/>
    <w:rsid w:val="00B80C47"/>
    <w:rsid w:val="00B812E0"/>
    <w:rsid w:val="00B977EF"/>
    <w:rsid w:val="00BA7889"/>
    <w:rsid w:val="00BD296B"/>
    <w:rsid w:val="00C0150A"/>
    <w:rsid w:val="00C445DE"/>
    <w:rsid w:val="00C458C2"/>
    <w:rsid w:val="00C511C2"/>
    <w:rsid w:val="00CC1058"/>
    <w:rsid w:val="00CF0A9F"/>
    <w:rsid w:val="00D12764"/>
    <w:rsid w:val="00D17565"/>
    <w:rsid w:val="00D42E9F"/>
    <w:rsid w:val="00D43FB6"/>
    <w:rsid w:val="00D809A3"/>
    <w:rsid w:val="00D814C1"/>
    <w:rsid w:val="00DB475B"/>
    <w:rsid w:val="00E05985"/>
    <w:rsid w:val="00E153B7"/>
    <w:rsid w:val="00E2024B"/>
    <w:rsid w:val="00E23261"/>
    <w:rsid w:val="00E4464A"/>
    <w:rsid w:val="00E8260D"/>
    <w:rsid w:val="00E879A4"/>
    <w:rsid w:val="00E966B2"/>
    <w:rsid w:val="00EB278F"/>
    <w:rsid w:val="00EF5DE8"/>
    <w:rsid w:val="00EF67A4"/>
    <w:rsid w:val="00F31790"/>
    <w:rsid w:val="00F75CEB"/>
    <w:rsid w:val="00F86831"/>
    <w:rsid w:val="00FA4B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F693BA"/>
  <w15:docId w15:val="{70F80B36-C432-444B-96D1-D102547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90"/>
  </w:style>
  <w:style w:type="paragraph" w:styleId="Heading1">
    <w:name w:val="heading 1"/>
    <w:basedOn w:val="Normal"/>
    <w:next w:val="Normal"/>
    <w:link w:val="Heading1Char"/>
    <w:uiPriority w:val="9"/>
    <w:qFormat/>
    <w:rsid w:val="00F3179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79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7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79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79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79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79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79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79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rsid w:val="00064F49"/>
    <w:pPr>
      <w:spacing w:before="120" w:after="120"/>
      <w:jc w:val="center"/>
    </w:pPr>
  </w:style>
  <w:style w:type="paragraph" w:customStyle="1" w:styleId="TitleM">
    <w:name w:val="TitleM"/>
    <w:basedOn w:val="Normal"/>
    <w:rsid w:val="00F41D34"/>
    <w:pPr>
      <w:jc w:val="center"/>
    </w:pPr>
    <w:rPr>
      <w:rFonts w:ascii="Arial" w:hAnsi="Arial"/>
      <w:b/>
      <w:caps/>
      <w:sz w:val="28"/>
    </w:rPr>
  </w:style>
  <w:style w:type="paragraph" w:customStyle="1" w:styleId="Authorts">
    <w:name w:val="Authorts"/>
    <w:basedOn w:val="Normal"/>
    <w:autoRedefine/>
    <w:rsid w:val="00064F49"/>
    <w:pPr>
      <w:jc w:val="center"/>
    </w:pPr>
  </w:style>
  <w:style w:type="paragraph" w:customStyle="1" w:styleId="SectionTitle">
    <w:name w:val="SectionTitle"/>
    <w:basedOn w:val="Normal"/>
    <w:autoRedefine/>
    <w:rsid w:val="00064F49"/>
    <w:rPr>
      <w:caps/>
    </w:rPr>
  </w:style>
  <w:style w:type="paragraph" w:customStyle="1" w:styleId="FootnoteM">
    <w:name w:val="FootnoteM"/>
    <w:basedOn w:val="Normal"/>
    <w:autoRedefine/>
    <w:rsid w:val="00064F49"/>
    <w:rPr>
      <w:sz w:val="20"/>
    </w:rPr>
  </w:style>
  <w:style w:type="paragraph" w:customStyle="1" w:styleId="ListM">
    <w:name w:val="ListM"/>
    <w:basedOn w:val="Normal"/>
    <w:autoRedefine/>
    <w:rsid w:val="00064F49"/>
    <w:pPr>
      <w:numPr>
        <w:numId w:val="4"/>
      </w:numPr>
      <w:autoSpaceDE w:val="0"/>
      <w:autoSpaceDN w:val="0"/>
      <w:adjustRightInd w:val="0"/>
    </w:pPr>
  </w:style>
  <w:style w:type="paragraph" w:customStyle="1" w:styleId="SubsectionM">
    <w:name w:val="SubsectionM"/>
    <w:basedOn w:val="Normal"/>
    <w:autoRedefine/>
    <w:rsid w:val="00064F49"/>
    <w:pPr>
      <w:autoSpaceDE w:val="0"/>
      <w:autoSpaceDN w:val="0"/>
      <w:adjustRightInd w:val="0"/>
    </w:pPr>
    <w:rPr>
      <w:i/>
    </w:rPr>
  </w:style>
  <w:style w:type="paragraph" w:customStyle="1" w:styleId="EquationM">
    <w:name w:val="EquationM"/>
    <w:basedOn w:val="Normal"/>
    <w:autoRedefine/>
    <w:rsid w:val="00064F49"/>
    <w:pPr>
      <w:jc w:val="right"/>
    </w:pPr>
  </w:style>
  <w:style w:type="paragraph" w:customStyle="1" w:styleId="Subsection">
    <w:name w:val="Subsection"/>
    <w:basedOn w:val="Normal"/>
    <w:autoRedefine/>
    <w:rsid w:val="00064F49"/>
    <w:rPr>
      <w:i/>
    </w:rPr>
  </w:style>
  <w:style w:type="paragraph" w:customStyle="1" w:styleId="TableM">
    <w:name w:val="TableM"/>
    <w:basedOn w:val="Normal"/>
    <w:autoRedefine/>
    <w:rsid w:val="00064F49"/>
    <w:pPr>
      <w:jc w:val="center"/>
    </w:pPr>
  </w:style>
  <w:style w:type="paragraph" w:customStyle="1" w:styleId="Figure">
    <w:name w:val="Figure"/>
    <w:basedOn w:val="Normal"/>
    <w:autoRedefine/>
    <w:rsid w:val="009C0813"/>
    <w:pPr>
      <w:jc w:val="center"/>
    </w:pPr>
    <w:rPr>
      <w:noProof/>
    </w:rPr>
  </w:style>
  <w:style w:type="paragraph" w:customStyle="1" w:styleId="NormalNI">
    <w:name w:val="NormalNI"/>
    <w:basedOn w:val="Normal"/>
    <w:autoRedefine/>
    <w:rsid w:val="00064F49"/>
  </w:style>
  <w:style w:type="paragraph" w:styleId="BalloonText">
    <w:name w:val="Balloon Text"/>
    <w:basedOn w:val="Normal"/>
    <w:semiHidden/>
    <w:rsid w:val="00064F49"/>
    <w:rPr>
      <w:rFonts w:ascii="Lucida Grande" w:hAnsi="Lucida Grande"/>
      <w:sz w:val="18"/>
      <w:szCs w:val="18"/>
    </w:rPr>
  </w:style>
  <w:style w:type="paragraph" w:customStyle="1" w:styleId="CaptionM">
    <w:name w:val="CaptionM"/>
    <w:basedOn w:val="Normal"/>
    <w:autoRedefine/>
    <w:rsid w:val="00BF30D9"/>
    <w:pPr>
      <w:spacing w:before="80"/>
      <w:jc w:val="center"/>
    </w:pPr>
  </w:style>
  <w:style w:type="paragraph" w:customStyle="1" w:styleId="ReferencesM">
    <w:name w:val="ReferencesM"/>
    <w:basedOn w:val="Normal"/>
    <w:autoRedefine/>
    <w:rsid w:val="009C0813"/>
    <w:pPr>
      <w:spacing w:after="8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75CF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5CF9"/>
    <w:rPr>
      <w:rFonts w:ascii="Lucida Grande" w:hAnsi="Lucida Grande" w:cs="Lucida Grande"/>
      <w:sz w:val="24"/>
      <w:szCs w:val="24"/>
      <w:lang w:eastAsia="ja-JP" w:bidi="en-US"/>
    </w:rPr>
  </w:style>
  <w:style w:type="character" w:styleId="PlaceholderText">
    <w:name w:val="Placeholder Text"/>
    <w:basedOn w:val="DefaultParagraphFont"/>
    <w:uiPriority w:val="99"/>
    <w:semiHidden/>
    <w:rsid w:val="004817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2C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C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C3C"/>
    <w:rPr>
      <w:rFonts w:ascii="Times New Roman" w:hAnsi="Times New Roman"/>
      <w:sz w:val="24"/>
      <w:szCs w:val="24"/>
      <w:lang w:eastAsia="ja-JP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C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C3C"/>
    <w:rPr>
      <w:rFonts w:ascii="Times New Roman" w:hAnsi="Times New Roman"/>
      <w:b/>
      <w:bCs/>
      <w:sz w:val="24"/>
      <w:szCs w:val="24"/>
      <w:lang w:eastAsia="ja-JP" w:bidi="en-US"/>
    </w:rPr>
  </w:style>
  <w:style w:type="table" w:styleId="TableGrid">
    <w:name w:val="Table Grid"/>
    <w:basedOn w:val="TableNormal"/>
    <w:uiPriority w:val="59"/>
    <w:rsid w:val="00E9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565"/>
    <w:rPr>
      <w:rFonts w:ascii="Times New Roman" w:hAnsi="Times New Roman"/>
      <w:sz w:val="24"/>
      <w:szCs w:val="24"/>
      <w:lang w:eastAsia="ja-JP" w:bidi="en-US"/>
    </w:rPr>
  </w:style>
  <w:style w:type="paragraph" w:styleId="Footer">
    <w:name w:val="footer"/>
    <w:basedOn w:val="Normal"/>
    <w:link w:val="FooterChar"/>
    <w:uiPriority w:val="99"/>
    <w:unhideWhenUsed/>
    <w:rsid w:val="00D17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65"/>
    <w:rPr>
      <w:rFonts w:ascii="Times New Roman" w:hAnsi="Times New Roman"/>
      <w:sz w:val="24"/>
      <w:szCs w:val="24"/>
      <w:lang w:eastAsia="ja-JP" w:bidi="en-US"/>
    </w:rPr>
  </w:style>
  <w:style w:type="paragraph" w:styleId="ListParagraph">
    <w:name w:val="List Paragraph"/>
    <w:basedOn w:val="Normal"/>
    <w:uiPriority w:val="34"/>
    <w:qFormat/>
    <w:rsid w:val="00F3179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3179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790"/>
    <w:rPr>
      <w:i/>
      <w:iCs/>
      <w:smallCaps/>
      <w:spacing w:val="1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17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1790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179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3179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79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79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79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79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7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79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790"/>
    <w:rPr>
      <w:b/>
      <w:bCs/>
      <w:i/>
      <w:iCs/>
      <w:color w:val="7F7F7F" w:themeColor="text1" w:themeTint="80"/>
      <w:sz w:val="18"/>
      <w:szCs w:val="18"/>
    </w:rPr>
  </w:style>
  <w:style w:type="character" w:styleId="Strong">
    <w:name w:val="Strong"/>
    <w:uiPriority w:val="22"/>
    <w:qFormat/>
    <w:rsid w:val="00F31790"/>
    <w:rPr>
      <w:b/>
      <w:bCs/>
    </w:rPr>
  </w:style>
  <w:style w:type="character" w:styleId="Emphasis">
    <w:name w:val="Emphasis"/>
    <w:uiPriority w:val="20"/>
    <w:qFormat/>
    <w:rsid w:val="00F3179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317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17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17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7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790"/>
    <w:rPr>
      <w:i/>
      <w:iCs/>
    </w:rPr>
  </w:style>
  <w:style w:type="character" w:styleId="SubtleEmphasis">
    <w:name w:val="Subtle Emphasis"/>
    <w:uiPriority w:val="19"/>
    <w:qFormat/>
    <w:rsid w:val="00F31790"/>
    <w:rPr>
      <w:i/>
      <w:iCs/>
    </w:rPr>
  </w:style>
  <w:style w:type="character" w:styleId="IntenseEmphasis">
    <w:name w:val="Intense Emphasis"/>
    <w:uiPriority w:val="21"/>
    <w:qFormat/>
    <w:rsid w:val="00F317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1790"/>
    <w:rPr>
      <w:smallCaps/>
    </w:rPr>
  </w:style>
  <w:style w:type="character" w:styleId="IntenseReference">
    <w:name w:val="Intense Reference"/>
    <w:uiPriority w:val="32"/>
    <w:qFormat/>
    <w:rsid w:val="00F3179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317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79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4EA97C-7E83-4D96-8440-CBEC3160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Austin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</dc:creator>
  <cp:lastModifiedBy>Panagopulos, Constantino</cp:lastModifiedBy>
  <cp:revision>3</cp:revision>
  <cp:lastPrinted>2021-03-02T19:42:00Z</cp:lastPrinted>
  <dcterms:created xsi:type="dcterms:W3CDTF">2022-08-18T22:42:00Z</dcterms:created>
  <dcterms:modified xsi:type="dcterms:W3CDTF">2022-08-18T22:43:00Z</dcterms:modified>
</cp:coreProperties>
</file>